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746E" w14:textId="202EA7B6" w:rsidR="0026428C" w:rsidRPr="00F45557" w:rsidRDefault="0026428C" w:rsidP="008336CC">
      <w:pPr>
        <w:pStyle w:val="Naslov2"/>
      </w:pPr>
      <w:r w:rsidRPr="00F45557">
        <w:t xml:space="preserve">PREDMET: </w:t>
      </w:r>
      <w:r w:rsidR="003A6426" w:rsidRPr="00F45557">
        <w:t>Primjedbe i komentari na Nacrt prijedloga Plana gospodarenja otpadom Split</w:t>
      </w:r>
      <w:r w:rsidR="00044DD1" w:rsidRPr="00F45557">
        <w:t>sko-dalmatinske županije za razdoblje od 2024-2029.</w:t>
      </w:r>
    </w:p>
    <w:p w14:paraId="7A70DA32" w14:textId="09DC27B5" w:rsidR="00300A99" w:rsidRDefault="008336CC" w:rsidP="00C5700E">
      <w:pPr>
        <w:spacing w:line="276" w:lineRule="auto"/>
        <w:jc w:val="both"/>
        <w:rPr>
          <w:rFonts w:ascii="Barlow" w:hAnsi="Barlow"/>
          <w:kern w:val="2"/>
          <w:sz w:val="24"/>
        </w:rPr>
      </w:pPr>
      <w:r>
        <w:rPr>
          <w:rFonts w:ascii="Barlow" w:hAnsi="Barlow"/>
          <w:kern w:val="2"/>
          <w:sz w:val="24"/>
        </w:rPr>
        <w:t>P</w:t>
      </w:r>
      <w:r w:rsidR="00552194" w:rsidRPr="00F45557">
        <w:rPr>
          <w:rFonts w:ascii="Barlow" w:hAnsi="Barlow"/>
          <w:kern w:val="2"/>
          <w:sz w:val="24"/>
        </w:rPr>
        <w:t xml:space="preserve">rimjedbe i mišljenje </w:t>
      </w:r>
      <w:r>
        <w:rPr>
          <w:rFonts w:ascii="Barlow" w:hAnsi="Barlow"/>
          <w:kern w:val="2"/>
          <w:sz w:val="24"/>
        </w:rPr>
        <w:t xml:space="preserve">Sunca </w:t>
      </w:r>
      <w:r w:rsidR="00552194" w:rsidRPr="00F45557">
        <w:rPr>
          <w:rFonts w:ascii="Barlow" w:hAnsi="Barlow"/>
          <w:kern w:val="2"/>
          <w:sz w:val="24"/>
        </w:rPr>
        <w:t xml:space="preserve">o dokumentaciji </w:t>
      </w:r>
      <w:r w:rsidR="001238D2" w:rsidRPr="00F45557">
        <w:rPr>
          <w:rFonts w:ascii="Barlow" w:hAnsi="Barlow"/>
          <w:b/>
          <w:bCs/>
          <w:sz w:val="24"/>
        </w:rPr>
        <w:t>Nacrt prijedloga Plana gospodarenja otpadom Splitsko-dalmatinske županije za razdoblje od 2024-2029</w:t>
      </w:r>
      <w:r w:rsidR="001238D2" w:rsidRPr="00300A99">
        <w:rPr>
          <w:rFonts w:ascii="Barlow" w:hAnsi="Barlow"/>
          <w:sz w:val="24"/>
        </w:rPr>
        <w:t>. koji je</w:t>
      </w:r>
      <w:r w:rsidR="001238D2" w:rsidRPr="00F45557">
        <w:rPr>
          <w:rFonts w:ascii="Barlow" w:hAnsi="Barlow"/>
          <w:b/>
          <w:bCs/>
          <w:sz w:val="24"/>
        </w:rPr>
        <w:t xml:space="preserve"> </w:t>
      </w:r>
      <w:r w:rsidR="00552194" w:rsidRPr="00F45557">
        <w:rPr>
          <w:rFonts w:ascii="Barlow" w:hAnsi="Barlow"/>
          <w:kern w:val="2"/>
          <w:sz w:val="24"/>
        </w:rPr>
        <w:t xml:space="preserve">upućen na javnu raspravu, temeljem Informacije o </w:t>
      </w:r>
      <w:r w:rsidR="000F5385" w:rsidRPr="00F45557">
        <w:rPr>
          <w:rFonts w:ascii="Barlow" w:hAnsi="Barlow"/>
          <w:kern w:val="2"/>
          <w:sz w:val="24"/>
        </w:rPr>
        <w:t>javn</w:t>
      </w:r>
      <w:r w:rsidR="000E3A83" w:rsidRPr="00F45557">
        <w:rPr>
          <w:rFonts w:ascii="Barlow" w:hAnsi="Barlow"/>
          <w:kern w:val="2"/>
          <w:sz w:val="24"/>
        </w:rPr>
        <w:t>oj raspravi Splitsko-</w:t>
      </w:r>
      <w:r w:rsidR="00F45557" w:rsidRPr="00F45557">
        <w:rPr>
          <w:rFonts w:ascii="Barlow" w:hAnsi="Barlow"/>
          <w:kern w:val="2"/>
          <w:sz w:val="24"/>
        </w:rPr>
        <w:t>dalmatinske</w:t>
      </w:r>
      <w:r w:rsidR="000E3A83" w:rsidRPr="00F45557">
        <w:rPr>
          <w:rFonts w:ascii="Barlow" w:hAnsi="Barlow"/>
          <w:kern w:val="2"/>
          <w:sz w:val="24"/>
        </w:rPr>
        <w:t xml:space="preserve"> županije, Upravni Odjel za zaštitu okoli</w:t>
      </w:r>
      <w:r w:rsidR="00F45557" w:rsidRPr="00F45557">
        <w:rPr>
          <w:rFonts w:ascii="Barlow" w:hAnsi="Barlow"/>
          <w:kern w:val="2"/>
          <w:sz w:val="24"/>
        </w:rPr>
        <w:t xml:space="preserve">šu, </w:t>
      </w:r>
      <w:r w:rsidR="00300A99" w:rsidRPr="00F45557">
        <w:rPr>
          <w:rFonts w:ascii="Barlow" w:hAnsi="Barlow"/>
          <w:kern w:val="2"/>
          <w:sz w:val="24"/>
        </w:rPr>
        <w:t>komunalne</w:t>
      </w:r>
      <w:r w:rsidR="00F45557" w:rsidRPr="00F45557">
        <w:rPr>
          <w:rFonts w:ascii="Barlow" w:hAnsi="Barlow"/>
          <w:kern w:val="2"/>
          <w:sz w:val="24"/>
        </w:rPr>
        <w:t xml:space="preserve"> poslove i infrastrukturu</w:t>
      </w:r>
      <w:r w:rsidR="00552194" w:rsidRPr="00F45557">
        <w:rPr>
          <w:rFonts w:ascii="Barlow" w:hAnsi="Barlow"/>
          <w:kern w:val="2"/>
          <w:sz w:val="24"/>
        </w:rPr>
        <w:t xml:space="preserve">  (KLASA 351-0</w:t>
      </w:r>
      <w:r w:rsidR="000B5EA2">
        <w:rPr>
          <w:rFonts w:ascii="Barlow" w:hAnsi="Barlow"/>
          <w:kern w:val="2"/>
          <w:sz w:val="24"/>
        </w:rPr>
        <w:t>2</w:t>
      </w:r>
      <w:r w:rsidR="00552194" w:rsidRPr="00F45557">
        <w:rPr>
          <w:rFonts w:ascii="Barlow" w:hAnsi="Barlow"/>
          <w:kern w:val="2"/>
          <w:sz w:val="24"/>
        </w:rPr>
        <w:t>/24-0</w:t>
      </w:r>
      <w:r w:rsidR="000B5EA2">
        <w:rPr>
          <w:rFonts w:ascii="Barlow" w:hAnsi="Barlow"/>
          <w:kern w:val="2"/>
          <w:sz w:val="24"/>
        </w:rPr>
        <w:t>004</w:t>
      </w:r>
      <w:r w:rsidR="00552194" w:rsidRPr="00F45557">
        <w:rPr>
          <w:rFonts w:ascii="Barlow" w:hAnsi="Barlow"/>
          <w:kern w:val="2"/>
          <w:sz w:val="24"/>
        </w:rPr>
        <w:t>/</w:t>
      </w:r>
      <w:r w:rsidR="00F80BED">
        <w:rPr>
          <w:rFonts w:ascii="Barlow" w:hAnsi="Barlow"/>
          <w:kern w:val="2"/>
          <w:sz w:val="24"/>
        </w:rPr>
        <w:t>0035</w:t>
      </w:r>
      <w:r w:rsidR="00552194" w:rsidRPr="00F45557">
        <w:rPr>
          <w:rFonts w:ascii="Barlow" w:hAnsi="Barlow"/>
          <w:kern w:val="2"/>
          <w:sz w:val="24"/>
        </w:rPr>
        <w:t xml:space="preserve">, URBROJ: </w:t>
      </w:r>
      <w:r w:rsidR="00E16FFD">
        <w:rPr>
          <w:rFonts w:ascii="Barlow" w:hAnsi="Barlow"/>
          <w:kern w:val="2"/>
          <w:sz w:val="24"/>
        </w:rPr>
        <w:t>2181/1-10/</w:t>
      </w:r>
      <w:r w:rsidR="00611C9D">
        <w:rPr>
          <w:rFonts w:ascii="Barlow" w:hAnsi="Barlow"/>
          <w:kern w:val="2"/>
          <w:sz w:val="24"/>
        </w:rPr>
        <w:t xml:space="preserve">07-25-0028 od </w:t>
      </w:r>
      <w:r w:rsidR="00300A99">
        <w:rPr>
          <w:rFonts w:ascii="Barlow" w:hAnsi="Barlow"/>
          <w:kern w:val="2"/>
          <w:sz w:val="24"/>
        </w:rPr>
        <w:t>10.11.2025.</w:t>
      </w:r>
    </w:p>
    <w:p w14:paraId="4414519F" w14:textId="77777777" w:rsidR="008336CC" w:rsidRDefault="008336CC" w:rsidP="00C5700E">
      <w:pPr>
        <w:spacing w:line="276" w:lineRule="auto"/>
        <w:jc w:val="both"/>
        <w:rPr>
          <w:rFonts w:ascii="Barlow" w:hAnsi="Barlow"/>
          <w:b/>
          <w:bCs/>
          <w:sz w:val="24"/>
        </w:rPr>
      </w:pPr>
    </w:p>
    <w:p w14:paraId="164A6C75" w14:textId="0B5FEF6D" w:rsidR="0026428C" w:rsidRPr="00300A99" w:rsidRDefault="0026428C" w:rsidP="0026428C">
      <w:pPr>
        <w:jc w:val="both"/>
        <w:rPr>
          <w:rFonts w:ascii="Barlow" w:hAnsi="Barlow"/>
          <w:b/>
          <w:bCs/>
          <w:sz w:val="24"/>
        </w:rPr>
      </w:pPr>
      <w:r w:rsidRPr="00300A99">
        <w:rPr>
          <w:rFonts w:ascii="Barlow" w:hAnsi="Barlow"/>
          <w:b/>
          <w:bCs/>
          <w:sz w:val="24"/>
        </w:rPr>
        <w:t>GENERALNI KOMENTARI</w:t>
      </w:r>
    </w:p>
    <w:p w14:paraId="402F877D" w14:textId="77777777" w:rsidR="0026428C" w:rsidRPr="000B1EC1" w:rsidRDefault="0026428C" w:rsidP="0026428C">
      <w:pPr>
        <w:pStyle w:val="Default"/>
        <w:spacing w:line="276" w:lineRule="auto"/>
        <w:jc w:val="both"/>
        <w:rPr>
          <w:rFonts w:ascii="Barlow" w:hAnsi="Barlow" w:cstheme="minorBidi"/>
          <w:color w:val="auto"/>
          <w:kern w:val="2"/>
        </w:rPr>
      </w:pPr>
      <w:r w:rsidRPr="000B1EC1">
        <w:rPr>
          <w:rFonts w:ascii="Barlow" w:hAnsi="Barlow" w:cstheme="minorBidi"/>
          <w:color w:val="auto"/>
          <w:kern w:val="2"/>
        </w:rPr>
        <w:t xml:space="preserve">2020. godine stupio je novi Zakon o gospodarenju otpadom. Isti je Zakon ukinuo donošenje gradskih odnosno općinskih planova gospodarenja otpadom te predvidio donošenje županijskih planova koji trebaju biti usuglašeni s Planom gospodarenja otpadom Republike Hrvatske (PGO RH). Koliko je ovaj sustav manjkav i koliko županije nisu sposobne koordinirati odgovorno i održivo gospodarenje otpadom na razini cijelih županija vidljivo je i po Planu gospodarenja otpadom Splitsko-dalmatinske županije (PGO SDŽ) koji se do 20.12.2025. nalazi na javnoj raspravi. Naime, spomenuti PGO SDŽ donosi se retrogradno pa je tako razdoblje njegove provedbe  od 2024. do 2029. godine! I  unatoč kašnjenju u donošenju PGO SDŽ ne propisuje konkretne mjere za organizaciju odgovornog i održivog gospodarenja otpadom na razini Županije, a za pojedine mjere koje su prioriteti u gospodarenju otpadom, poput sprječavanja nastanka otpada i ponove uporabe propisuje preporuke i donošenje novih Planova umjesto konkretnih aktivnosti, projekata i financijskih ulaganja. Podsjećamo temeljem Zakona o </w:t>
      </w:r>
      <w:r>
        <w:rPr>
          <w:rFonts w:ascii="Barlow" w:hAnsi="Barlow" w:cstheme="minorBidi"/>
          <w:color w:val="auto"/>
          <w:kern w:val="2"/>
        </w:rPr>
        <w:t xml:space="preserve">gospodarenju </w:t>
      </w:r>
      <w:r w:rsidRPr="000B1EC1">
        <w:rPr>
          <w:rFonts w:ascii="Barlow" w:hAnsi="Barlow" w:cstheme="minorBidi"/>
          <w:color w:val="auto"/>
          <w:kern w:val="2"/>
        </w:rPr>
        <w:t>otpad</w:t>
      </w:r>
      <w:r>
        <w:rPr>
          <w:rFonts w:ascii="Barlow" w:hAnsi="Barlow" w:cstheme="minorBidi"/>
          <w:color w:val="auto"/>
          <w:kern w:val="2"/>
        </w:rPr>
        <w:t>om</w:t>
      </w:r>
      <w:r w:rsidRPr="000B1EC1">
        <w:rPr>
          <w:rFonts w:ascii="Barlow" w:hAnsi="Barlow" w:cstheme="minorBidi"/>
          <w:color w:val="auto"/>
          <w:kern w:val="2"/>
        </w:rPr>
        <w:t xml:space="preserve"> županijski planovi trebali su biti doneseni 1.1. 2024. </w:t>
      </w:r>
    </w:p>
    <w:p w14:paraId="7A6DAF15" w14:textId="77777777" w:rsidR="0026428C" w:rsidRPr="000B1EC1" w:rsidRDefault="0026428C" w:rsidP="0026428C">
      <w:pPr>
        <w:pStyle w:val="Default"/>
        <w:spacing w:line="276" w:lineRule="auto"/>
        <w:jc w:val="both"/>
        <w:rPr>
          <w:rFonts w:ascii="Barlow" w:hAnsi="Barlow" w:cstheme="minorBidi"/>
          <w:color w:val="auto"/>
          <w:kern w:val="2"/>
        </w:rPr>
      </w:pPr>
      <w:r w:rsidRPr="000B1EC1">
        <w:rPr>
          <w:rFonts w:ascii="Barlow" w:hAnsi="Barlow" w:cstheme="minorBidi"/>
          <w:color w:val="auto"/>
          <w:kern w:val="2"/>
        </w:rPr>
        <w:t>Splitsko-dalmatinska županija opravdavala je kašnjenje donošenjem Nacionalnog plana gospodarenja otpadom, a koji je usvojen u srpnju 2023. godine. Stoga smatramo kako ovo nije opravdanje za kašnjenje od gotovo dvije godine i pritom donošenja Plana koji to nije! Još je upitnije s obzirom na viđeno prilikom donošenja ovog Plana na koji način će se provoditi nadzor i ispunjavanje mjera te u konačnici poštivanje Zakona o</w:t>
      </w:r>
      <w:r>
        <w:rPr>
          <w:rFonts w:ascii="Barlow" w:hAnsi="Barlow" w:cstheme="minorBidi"/>
          <w:color w:val="auto"/>
          <w:kern w:val="2"/>
        </w:rPr>
        <w:t xml:space="preserve"> gospodarenju</w:t>
      </w:r>
      <w:r w:rsidRPr="000B1EC1">
        <w:rPr>
          <w:rFonts w:ascii="Barlow" w:hAnsi="Barlow" w:cstheme="minorBidi"/>
          <w:color w:val="auto"/>
          <w:kern w:val="2"/>
        </w:rPr>
        <w:t xml:space="preserve"> otpad</w:t>
      </w:r>
      <w:r>
        <w:rPr>
          <w:rFonts w:ascii="Barlow" w:hAnsi="Barlow" w:cstheme="minorBidi"/>
          <w:color w:val="auto"/>
          <w:kern w:val="2"/>
        </w:rPr>
        <w:t>om</w:t>
      </w:r>
      <w:r w:rsidRPr="000B1EC1">
        <w:rPr>
          <w:rFonts w:ascii="Barlow" w:hAnsi="Barlow" w:cstheme="minorBidi"/>
          <w:color w:val="auto"/>
          <w:kern w:val="2"/>
        </w:rPr>
        <w:t xml:space="preserve">, koje stalno izostaje u značajnoj mjeri. </w:t>
      </w:r>
    </w:p>
    <w:p w14:paraId="5CE2AF50" w14:textId="77777777" w:rsidR="0026428C" w:rsidRPr="000B1EC1" w:rsidRDefault="0026428C" w:rsidP="0026428C">
      <w:pPr>
        <w:pStyle w:val="Default"/>
        <w:spacing w:line="276" w:lineRule="auto"/>
        <w:jc w:val="both"/>
        <w:rPr>
          <w:rFonts w:ascii="Barlow" w:hAnsi="Barlow" w:cstheme="minorBidi"/>
          <w:color w:val="auto"/>
          <w:kern w:val="2"/>
        </w:rPr>
      </w:pPr>
      <w:r w:rsidRPr="000B1EC1">
        <w:rPr>
          <w:rFonts w:ascii="Barlow" w:hAnsi="Barlow" w:cstheme="minorBidi"/>
          <w:color w:val="auto"/>
          <w:kern w:val="2"/>
        </w:rPr>
        <w:t>Zakon o</w:t>
      </w:r>
      <w:r>
        <w:rPr>
          <w:rFonts w:ascii="Barlow" w:hAnsi="Barlow" w:cstheme="minorBidi"/>
          <w:color w:val="auto"/>
          <w:kern w:val="2"/>
        </w:rPr>
        <w:t xml:space="preserve"> gospodarenju</w:t>
      </w:r>
      <w:r w:rsidRPr="000B1EC1">
        <w:rPr>
          <w:rFonts w:ascii="Barlow" w:hAnsi="Barlow" w:cstheme="minorBidi"/>
          <w:color w:val="auto"/>
          <w:kern w:val="2"/>
        </w:rPr>
        <w:t xml:space="preserve"> otpad</w:t>
      </w:r>
      <w:r>
        <w:rPr>
          <w:rFonts w:ascii="Barlow" w:hAnsi="Barlow" w:cstheme="minorBidi"/>
          <w:color w:val="auto"/>
          <w:kern w:val="2"/>
        </w:rPr>
        <w:t>om</w:t>
      </w:r>
      <w:r w:rsidRPr="000B1EC1">
        <w:rPr>
          <w:rFonts w:ascii="Barlow" w:hAnsi="Barlow" w:cstheme="minorBidi"/>
          <w:color w:val="auto"/>
          <w:kern w:val="2"/>
        </w:rPr>
        <w:t xml:space="preserve"> između ostalog jasno propisuje sadržaj PGO. Županiju ništa nije sprječavalo da na vrijeme započne s njegovom izradom, uključi u participativni proces gradove i općine te komunalna poduzeća i ostale relevantne dionike u sustavu gospodarenja otpadom te započne s uređenjem kaosa koji vlada u Županiji po pitanju gospodarenja otpadom.   </w:t>
      </w:r>
    </w:p>
    <w:p w14:paraId="7F6C8579" w14:textId="77777777" w:rsidR="0026428C" w:rsidRPr="000B1EC1" w:rsidRDefault="0026428C" w:rsidP="0026428C">
      <w:pPr>
        <w:pStyle w:val="Default"/>
        <w:spacing w:line="276" w:lineRule="auto"/>
        <w:jc w:val="both"/>
        <w:rPr>
          <w:rFonts w:ascii="Barlow" w:hAnsi="Barlow" w:cstheme="minorBidi"/>
          <w:color w:val="auto"/>
          <w:kern w:val="2"/>
        </w:rPr>
      </w:pPr>
      <w:r w:rsidRPr="000B1EC1">
        <w:rPr>
          <w:rFonts w:ascii="Barlow" w:hAnsi="Barlow" w:cstheme="minorBidi"/>
          <w:color w:val="auto"/>
          <w:kern w:val="2"/>
        </w:rPr>
        <w:t xml:space="preserve">Vezano uz odvojeno prikupljanje komunalnog otpada, zakonske obveze su jasne, navedene i u nacionalnom Planu kao i PGO SDŽ te ih ovdje ponovno navodimo. </w:t>
      </w:r>
    </w:p>
    <w:p w14:paraId="01496501" w14:textId="77777777" w:rsidR="0026428C" w:rsidRPr="000B1EC1" w:rsidRDefault="0026428C" w:rsidP="0026428C">
      <w:pPr>
        <w:pStyle w:val="Default"/>
        <w:spacing w:line="276" w:lineRule="auto"/>
        <w:jc w:val="both"/>
        <w:rPr>
          <w:rFonts w:ascii="Barlow" w:hAnsi="Barlow"/>
        </w:rPr>
      </w:pPr>
    </w:p>
    <w:p w14:paraId="77B47628" w14:textId="77777777" w:rsidR="0026428C" w:rsidRPr="000B1EC1" w:rsidRDefault="0026428C" w:rsidP="0026428C">
      <w:pPr>
        <w:pStyle w:val="Default"/>
        <w:spacing w:line="276" w:lineRule="auto"/>
        <w:jc w:val="both"/>
        <w:rPr>
          <w:rFonts w:ascii="Barlow" w:hAnsi="Barlow"/>
        </w:rPr>
      </w:pPr>
      <w:proofErr w:type="spellStart"/>
      <w:r w:rsidRPr="000B1EC1">
        <w:rPr>
          <w:rFonts w:ascii="Barlow" w:hAnsi="Barlow"/>
        </w:rPr>
        <w:t>Oporabiti</w:t>
      </w:r>
      <w:proofErr w:type="spellEnd"/>
      <w:r w:rsidRPr="000B1EC1">
        <w:rPr>
          <w:rFonts w:ascii="Barlow" w:hAnsi="Barlow"/>
        </w:rPr>
        <w:t xml:space="preserve"> recikliranjem i pripremom za ponovnu uporabu najmanje: </w:t>
      </w:r>
    </w:p>
    <w:p w14:paraId="6125CF79" w14:textId="77777777" w:rsidR="0026428C" w:rsidRPr="000B1EC1" w:rsidRDefault="0026428C" w:rsidP="00107BAD">
      <w:pPr>
        <w:pStyle w:val="Default"/>
        <w:numPr>
          <w:ilvl w:val="0"/>
          <w:numId w:val="3"/>
        </w:numPr>
        <w:spacing w:line="276" w:lineRule="auto"/>
        <w:jc w:val="both"/>
        <w:rPr>
          <w:rFonts w:ascii="Barlow" w:hAnsi="Barlow"/>
        </w:rPr>
      </w:pPr>
      <w:r w:rsidRPr="000B1EC1">
        <w:rPr>
          <w:rFonts w:ascii="Barlow" w:hAnsi="Barlow"/>
        </w:rPr>
        <w:t xml:space="preserve">55% mase komunalnog otpada do 2025. godine </w:t>
      </w:r>
    </w:p>
    <w:p w14:paraId="02952C67" w14:textId="77777777" w:rsidR="0026428C" w:rsidRPr="000B1EC1" w:rsidRDefault="0026428C" w:rsidP="00107BAD">
      <w:pPr>
        <w:pStyle w:val="Default"/>
        <w:numPr>
          <w:ilvl w:val="0"/>
          <w:numId w:val="3"/>
        </w:numPr>
        <w:spacing w:line="276" w:lineRule="auto"/>
        <w:jc w:val="both"/>
        <w:rPr>
          <w:rFonts w:ascii="Barlow" w:hAnsi="Barlow"/>
        </w:rPr>
      </w:pPr>
      <w:r w:rsidRPr="000B1EC1">
        <w:rPr>
          <w:rFonts w:ascii="Barlow" w:hAnsi="Barlow"/>
        </w:rPr>
        <w:t xml:space="preserve">60% mase komunalnog otpada do 2030. godine i </w:t>
      </w:r>
    </w:p>
    <w:p w14:paraId="2FD51DEC" w14:textId="77777777" w:rsidR="0026428C" w:rsidRPr="000B1EC1" w:rsidRDefault="0026428C" w:rsidP="00107BAD">
      <w:pPr>
        <w:pStyle w:val="Default"/>
        <w:numPr>
          <w:ilvl w:val="0"/>
          <w:numId w:val="3"/>
        </w:numPr>
        <w:spacing w:line="276" w:lineRule="auto"/>
        <w:jc w:val="both"/>
        <w:rPr>
          <w:rFonts w:ascii="Barlow" w:hAnsi="Barlow"/>
        </w:rPr>
      </w:pPr>
      <w:r w:rsidRPr="000B1EC1">
        <w:rPr>
          <w:rFonts w:ascii="Barlow" w:hAnsi="Barlow"/>
        </w:rPr>
        <w:t xml:space="preserve">65% mase komunalnog otpada do 2035. godine. </w:t>
      </w:r>
    </w:p>
    <w:p w14:paraId="1DE9AA8D" w14:textId="77777777" w:rsidR="0026428C" w:rsidRPr="000B1EC1" w:rsidRDefault="0026428C" w:rsidP="0026428C">
      <w:pPr>
        <w:jc w:val="both"/>
        <w:rPr>
          <w:rFonts w:ascii="Barlow" w:hAnsi="Barlow"/>
        </w:rPr>
      </w:pPr>
    </w:p>
    <w:p w14:paraId="2840961A" w14:textId="77777777" w:rsidR="0026428C" w:rsidRPr="00006951" w:rsidRDefault="0026428C" w:rsidP="0026428C">
      <w:pPr>
        <w:spacing w:line="276" w:lineRule="auto"/>
        <w:jc w:val="both"/>
        <w:rPr>
          <w:rFonts w:ascii="Barlow" w:hAnsi="Barlow"/>
          <w:sz w:val="24"/>
        </w:rPr>
      </w:pPr>
      <w:r w:rsidRPr="00006951">
        <w:rPr>
          <w:rFonts w:ascii="Barlow" w:hAnsi="Barlow"/>
          <w:sz w:val="24"/>
        </w:rPr>
        <w:t xml:space="preserve">Trenutno prema izračunima navedenim u PGO SDŽ  u Županiji se u 2024. </w:t>
      </w:r>
      <w:proofErr w:type="spellStart"/>
      <w:r w:rsidRPr="00006951">
        <w:rPr>
          <w:rFonts w:ascii="Barlow" w:hAnsi="Barlow"/>
          <w:sz w:val="24"/>
        </w:rPr>
        <w:t>oporabilo</w:t>
      </w:r>
      <w:proofErr w:type="spellEnd"/>
      <w:r w:rsidRPr="00006951">
        <w:rPr>
          <w:rFonts w:ascii="Barlow" w:hAnsi="Barlow"/>
          <w:sz w:val="24"/>
        </w:rPr>
        <w:t xml:space="preserve"> svega 12% otpada, što je jako daleko od postavljenih ciljeva.  S druge strane kapaciteti CGO </w:t>
      </w:r>
      <w:proofErr w:type="spellStart"/>
      <w:r w:rsidRPr="00006951">
        <w:rPr>
          <w:rFonts w:ascii="Barlow" w:hAnsi="Barlow"/>
          <w:sz w:val="24"/>
        </w:rPr>
        <w:t>Lećevica</w:t>
      </w:r>
      <w:proofErr w:type="spellEnd"/>
      <w:r w:rsidRPr="00006951">
        <w:rPr>
          <w:rFonts w:ascii="Barlow" w:hAnsi="Barlow"/>
          <w:sz w:val="24"/>
        </w:rPr>
        <w:t xml:space="preserve"> za mehaničku obradu su 110.000 t/god. Odnosno </w:t>
      </w:r>
      <w:r w:rsidRPr="00006951">
        <w:rPr>
          <w:rFonts w:ascii="Barlow" w:hAnsi="Barlow"/>
          <w:b/>
          <w:bCs/>
          <w:sz w:val="24"/>
        </w:rPr>
        <w:t xml:space="preserve">količina danas odloženog otpada (162066 t u 2024. godini) koji bi se u narednom razdoblju trebao obrađivati u CGO </w:t>
      </w:r>
      <w:proofErr w:type="spellStart"/>
      <w:r w:rsidRPr="00006951">
        <w:rPr>
          <w:rFonts w:ascii="Barlow" w:hAnsi="Barlow"/>
          <w:b/>
          <w:bCs/>
          <w:sz w:val="24"/>
        </w:rPr>
        <w:t>Lećevica</w:t>
      </w:r>
      <w:proofErr w:type="spellEnd"/>
      <w:r w:rsidRPr="00006951">
        <w:rPr>
          <w:rFonts w:ascii="Barlow" w:hAnsi="Barlow"/>
          <w:b/>
          <w:bCs/>
          <w:sz w:val="24"/>
        </w:rPr>
        <w:t xml:space="preserve"> značajno premašuje njegove kapacitete.</w:t>
      </w:r>
      <w:r w:rsidRPr="00006951">
        <w:rPr>
          <w:rFonts w:ascii="Barlow" w:hAnsi="Barlow"/>
          <w:sz w:val="24"/>
        </w:rPr>
        <w:t xml:space="preserve">  Na koji način će gradovi i općine u Županiji osigurati da ta tonaža zaista i dođe u CGO, i da se od 187246 tona koliko se godišnje stvara otpada u županiji na razini gradova odvoji 77246 odnosno minimalno 41 % i uz famozan Plan nije jasno. </w:t>
      </w:r>
    </w:p>
    <w:p w14:paraId="50CB23BC"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PGO SDŽ trebao je dati konkretna rješenja, vremensku dinamiku provedbe, identificirati potrebna financijska sredstva za provedbu svih prioriteta u gospodarenju otpadom.  Međutim, Plan koji je dostavljen na javnu raspravu ostavlja nam  i dalje  upitnik nad glavama! I pitamo se koji je smisao njegova donošenja kada su mjere doslovno kopirane iz PGO RH, neke su čak pretvorene i u preporuke, a izračuni se temelje se na starim podacima, a za pojedine važne segmente gospodarenja otpadom niti ne postoje vjerodostojni podatci, primjerice za posebne kategorije otpada (tekstil, otpadna ambalaža, gume, otpadna ulja, otpadne baterije, otpadna vozila, medicinski otpad) uključujući i opasni otpad. Dokument je preopterećen podacima, nepregledan, tekst je zagušen normativnim i opisnim sadržajem, bez stvarne planske vrijednosti i bez mogućnosti praćenja učinkovitosti mjera. Podaci od prije pet godina umjesto da se koriste za procjene trendova koriste se i za prikaz trenutnog stanja. U najvećem broju slučaja samo se iznosi gomila podataka, a pritom se ne ulazi u razloge, primjerice neprijavljivanja posebnih kategorija otpada, a kamoli u promišljanje kako u narednom razdoblju utjecati, koji se alati i mjere mogu primijeniti da se stanje popravi. Prema svemu navedenom u Planu čini se kako se Županija, ali većina JLS pitanjima smanjivanja stvaranja otpada, ponovne oporabe i izgradnje centara za ponovnu oporabu, sustava odvojenog prikupljanja, izgradnje </w:t>
      </w:r>
      <w:proofErr w:type="spellStart"/>
      <w:r w:rsidRPr="00B303F3">
        <w:rPr>
          <w:rFonts w:ascii="Barlow" w:hAnsi="Barlow"/>
          <w:sz w:val="24"/>
        </w:rPr>
        <w:t>kompostana</w:t>
      </w:r>
      <w:proofErr w:type="spellEnd"/>
      <w:r w:rsidRPr="00B303F3">
        <w:rPr>
          <w:rFonts w:ascii="Barlow" w:hAnsi="Barlow"/>
          <w:sz w:val="24"/>
        </w:rPr>
        <w:t xml:space="preserve">, bioplinskim postrojenjima,  </w:t>
      </w:r>
      <w:proofErr w:type="spellStart"/>
      <w:r w:rsidRPr="00B303F3">
        <w:rPr>
          <w:rFonts w:ascii="Barlow" w:hAnsi="Barlow"/>
          <w:sz w:val="24"/>
        </w:rPr>
        <w:t>sortirnicama</w:t>
      </w:r>
      <w:proofErr w:type="spellEnd"/>
      <w:r w:rsidRPr="00B303F3">
        <w:rPr>
          <w:rFonts w:ascii="Barlow" w:hAnsi="Barlow"/>
          <w:sz w:val="24"/>
        </w:rPr>
        <w:t xml:space="preserve"> i </w:t>
      </w:r>
      <w:proofErr w:type="spellStart"/>
      <w:r w:rsidRPr="00B303F3">
        <w:rPr>
          <w:rFonts w:ascii="Barlow" w:hAnsi="Barlow"/>
          <w:sz w:val="24"/>
        </w:rPr>
        <w:t>reciklažnim</w:t>
      </w:r>
      <w:proofErr w:type="spellEnd"/>
      <w:r w:rsidRPr="00B303F3">
        <w:rPr>
          <w:rFonts w:ascii="Barlow" w:hAnsi="Barlow"/>
          <w:sz w:val="24"/>
        </w:rPr>
        <w:t xml:space="preserve"> dvorištima najradije ne bi bavili, čekajući CGO </w:t>
      </w:r>
      <w:proofErr w:type="spellStart"/>
      <w:r w:rsidRPr="00B303F3">
        <w:rPr>
          <w:rFonts w:ascii="Barlow" w:hAnsi="Barlow"/>
          <w:sz w:val="24"/>
        </w:rPr>
        <w:t>Lećevica</w:t>
      </w:r>
      <w:proofErr w:type="spellEnd"/>
      <w:r w:rsidRPr="00B303F3">
        <w:rPr>
          <w:rFonts w:ascii="Barlow" w:hAnsi="Barlow"/>
          <w:sz w:val="24"/>
        </w:rPr>
        <w:t xml:space="preserve"> kao spasonosno rješenje za brojna pretrpana odlagališta? No važno je istaknuti kako se na nizu mjesta u dokumentu odgovornost prebacuje na građane, nisku razinu ekološke svijesti te se propisuju mjere edukacije i informiranje. Smatramo kako prvi koji se trebaju educirati su upravo odgovorne osobe u JLS-ima, komunalnim poduzećima te Županiji. Jer edukacija građana bez uspostavljenog sustava održivog gospodarenja otpadom ne može biti dovoljno učinkovita, čak je i kontraproduktivna i nedosljedna.</w:t>
      </w:r>
    </w:p>
    <w:p w14:paraId="1C26B74B"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Manjak svijesti vidljiv je  i kroz tablice predstavljene u dokumentu u kojima se propituje zainteresiranost gradova i općina za </w:t>
      </w:r>
      <w:proofErr w:type="spellStart"/>
      <w:r w:rsidRPr="00B303F3">
        <w:rPr>
          <w:rFonts w:ascii="Barlow" w:hAnsi="Barlow"/>
          <w:sz w:val="24"/>
        </w:rPr>
        <w:t>reciklažna</w:t>
      </w:r>
      <w:proofErr w:type="spellEnd"/>
      <w:r w:rsidRPr="00B303F3">
        <w:rPr>
          <w:rFonts w:ascii="Barlow" w:hAnsi="Barlow"/>
          <w:sz w:val="24"/>
        </w:rPr>
        <w:t xml:space="preserve"> dvorišta, centre za ponovnu upotrebu, </w:t>
      </w:r>
      <w:proofErr w:type="spellStart"/>
      <w:r w:rsidRPr="00B303F3">
        <w:rPr>
          <w:rFonts w:ascii="Barlow" w:hAnsi="Barlow"/>
          <w:sz w:val="24"/>
        </w:rPr>
        <w:lastRenderedPageBreak/>
        <w:t>kompostane</w:t>
      </w:r>
      <w:proofErr w:type="spellEnd"/>
      <w:r w:rsidRPr="00B303F3">
        <w:rPr>
          <w:rFonts w:ascii="Barlow" w:hAnsi="Barlow"/>
          <w:sz w:val="24"/>
        </w:rPr>
        <w:t xml:space="preserve">, kao da se ne radi o zakonskih obvezama, kao da ne postoji nužnost hitnog djelovanja na smanjivanja stvaranja otpada, njegovog odvojenog prikupljanja i oporabe.  Ako ne radi okoliša i zdravlja građana, onda barem radi troškova koje će snositi svi građani SDŽ. Naime, naplata obrade otpada u CGO </w:t>
      </w:r>
      <w:proofErr w:type="spellStart"/>
      <w:r w:rsidRPr="00B303F3">
        <w:rPr>
          <w:rFonts w:ascii="Barlow" w:hAnsi="Barlow"/>
          <w:sz w:val="24"/>
        </w:rPr>
        <w:t>Lećevici</w:t>
      </w:r>
      <w:proofErr w:type="spellEnd"/>
      <w:r w:rsidRPr="00B303F3">
        <w:rPr>
          <w:rFonts w:ascii="Barlow" w:hAnsi="Barlow"/>
          <w:sz w:val="24"/>
        </w:rPr>
        <w:t xml:space="preserve"> predviđa se prema količini dostavljenog miješanog komunalnog otpada. Time je obrada otpada višestruko skuplja nego što je to slučaj danas kada se u većini gradova i općina u Županiji otpad samo odlaže na neusklađenim odlagalištima. Stoga građane općina i gradova očekuje višestruko povećanje troškova njegove obrade i zbrinjavanja. </w:t>
      </w:r>
      <w:r w:rsidRPr="00B303F3">
        <w:rPr>
          <w:rFonts w:ascii="Barlow" w:hAnsi="Barlow"/>
          <w:b/>
          <w:bCs/>
          <w:sz w:val="24"/>
        </w:rPr>
        <w:t>Oni koji će proizvoditi veće količine miješanog komunalnog otpada više će i plaćati! Stoga je u interesu građana i svake JLS smanjiti količinu otpada koja će se obrađivati u Centru</w:t>
      </w:r>
      <w:r w:rsidRPr="00B303F3">
        <w:rPr>
          <w:rFonts w:ascii="Barlow" w:hAnsi="Barlow"/>
          <w:sz w:val="24"/>
        </w:rPr>
        <w:t xml:space="preserve">, odnosno staviti prioritete na mjere sprječavanja nastanka otpada, njegovog odvojenog prikupljanja i recikliranja. Ovo je posebno potrebno na otocima jer će svi građani županije snositi iznimno skupe troškove prijevoza otpada s otoka u budući CGO </w:t>
      </w:r>
      <w:proofErr w:type="spellStart"/>
      <w:r w:rsidRPr="00B303F3">
        <w:rPr>
          <w:rFonts w:ascii="Barlow" w:hAnsi="Barlow"/>
          <w:sz w:val="24"/>
        </w:rPr>
        <w:t>Lećevica</w:t>
      </w:r>
      <w:proofErr w:type="spellEnd"/>
      <w:r w:rsidRPr="00B303F3">
        <w:rPr>
          <w:rFonts w:ascii="Barlow" w:hAnsi="Barlow"/>
          <w:sz w:val="24"/>
        </w:rPr>
        <w:t xml:space="preserve">. Neprihvatljivo je PGO SDŽ ne planira obvezne </w:t>
      </w:r>
      <w:proofErr w:type="spellStart"/>
      <w:r w:rsidRPr="00B303F3">
        <w:rPr>
          <w:rFonts w:ascii="Barlow" w:hAnsi="Barlow"/>
          <w:sz w:val="24"/>
        </w:rPr>
        <w:t>kompostane</w:t>
      </w:r>
      <w:proofErr w:type="spellEnd"/>
      <w:r w:rsidRPr="00B303F3">
        <w:rPr>
          <w:rFonts w:ascii="Barlow" w:hAnsi="Barlow"/>
          <w:sz w:val="24"/>
        </w:rPr>
        <w:t xml:space="preserve"> na svim otocima u Županiji.</w:t>
      </w:r>
    </w:p>
    <w:p w14:paraId="1452837A"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Koliko se radi o važnom dokumentu te koliko je županija, naš okoliš i naše zdravlje u opasnosti od neadekvatnog gospodarenja otpadom govori i činjenica ukupne količine otpada po stanovniku godišnje koji jasno ukazuju na negativne učinke i opterećenje od turizma pred kojim mnogi zatvaraju oči, Naime, u Hrvatskoj se u prosjeku stvara 486 kg otpada po stanovniku, u SDŽ stvara čak 606 kg otpada po stanovniku (podaci za 2024. godini). Stoga je potrebno hitno unaprijediti ovaj Plan te predvidjeti sustavan pristup i učinkovitije mjere i aktivnosti na lokalnoj razini  kako bi se izbjegla dugoročna šteta za okoliš i osiguralo održivo gospodarenje otpadom u Županiji. Stratešku procjenu utjecaja PGO SDŽ na okoliš, kada se radi o ovako manjkavom dokumentu ne nalazimo uopće shodnim komentirati. Ipak skrenuli bi pozornost izrađivaču na pozitivan utjecaj </w:t>
      </w:r>
      <w:proofErr w:type="spellStart"/>
      <w:r w:rsidRPr="00B303F3">
        <w:rPr>
          <w:rFonts w:ascii="Barlow" w:hAnsi="Barlow"/>
          <w:sz w:val="24"/>
        </w:rPr>
        <w:t>kompostana</w:t>
      </w:r>
      <w:proofErr w:type="spellEnd"/>
      <w:r w:rsidRPr="00B303F3">
        <w:rPr>
          <w:rFonts w:ascii="Barlow" w:hAnsi="Barlow"/>
          <w:sz w:val="24"/>
        </w:rPr>
        <w:t xml:space="preserve"> i kompostiranja na tlo. Naime,  primjenom kružne ekonomije u postupanju s biootpadom te stvaranjem krajnjem produkta, humusa može se doprinijeti obogaćivanju ionako osiromašenog tla u Županiji, uključujući i na otocima. </w:t>
      </w:r>
    </w:p>
    <w:p w14:paraId="3C8AA0E2" w14:textId="357CB2F3" w:rsidR="0026428C" w:rsidRPr="00B303F3" w:rsidRDefault="0026428C" w:rsidP="00B303F3">
      <w:pPr>
        <w:spacing w:line="276" w:lineRule="auto"/>
        <w:jc w:val="both"/>
        <w:rPr>
          <w:rFonts w:ascii="Barlow" w:hAnsi="Barlow"/>
          <w:b/>
          <w:bCs/>
          <w:sz w:val="24"/>
        </w:rPr>
      </w:pPr>
      <w:r w:rsidRPr="00B303F3">
        <w:rPr>
          <w:rFonts w:ascii="Barlow" w:hAnsi="Barlow"/>
          <w:b/>
          <w:bCs/>
          <w:sz w:val="24"/>
        </w:rPr>
        <w:t>KOMENTARI PO STRANICAMA</w:t>
      </w:r>
    </w:p>
    <w:p w14:paraId="2D4AD578"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 xml:space="preserve">Strana 6. </w:t>
      </w:r>
    </w:p>
    <w:p w14:paraId="2AEC2E7E"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 xml:space="preserve">Rečenicu:  </w:t>
      </w:r>
      <w:r w:rsidRPr="00B303F3">
        <w:rPr>
          <w:rFonts w:ascii="Barlow" w:hAnsi="Barlow"/>
          <w:sz w:val="24"/>
        </w:rPr>
        <w:t>Kako bi se uspostavio kvalitetan sustav gospodarenja otpadom te i nadzor nad istim od mjesta nastanka otpada do mjesta njegovog krajnjeg zbrinjavanja neophodno je ustrojiti odgovorna tijela na državnoj, regionalnoj i lokalnoj razini, donijeti odgovarajuću legislativu te izgraditi predviđene tehničko-tehnološke cjeline za prihvat, obradu i trajno zbrinjavanje neiskoristivih dijelova otpada,</w:t>
      </w:r>
      <w:r w:rsidRPr="00B303F3">
        <w:rPr>
          <w:rFonts w:ascii="Barlow" w:hAnsi="Barlow"/>
          <w:i/>
          <w:iCs/>
          <w:sz w:val="24"/>
        </w:rPr>
        <w:t xml:space="preserve"> potrebno</w:t>
      </w:r>
      <w:r w:rsidRPr="00B303F3">
        <w:rPr>
          <w:rFonts w:ascii="Barlow" w:hAnsi="Barlow"/>
          <w:sz w:val="24"/>
        </w:rPr>
        <w:t xml:space="preserve"> je revidirati i dopuniti. Predlažemo sljedeću formulaciju: Kako bi se uspostavio kvalitetan sustav gospodarenja otpadom te i nadzor nad istim od mjesta nastanka otpada do mjesta njegovog krajnjeg zbrinjavanja neophodno je ustrojiti odgovorna tijela na državnoj, regionalnoj i lokalnoj razini, </w:t>
      </w:r>
      <w:r w:rsidRPr="00B303F3">
        <w:rPr>
          <w:rFonts w:ascii="Barlow" w:hAnsi="Barlow"/>
          <w:b/>
          <w:bCs/>
          <w:sz w:val="24"/>
        </w:rPr>
        <w:t xml:space="preserve">osigurati provedbu  legislative </w:t>
      </w:r>
      <w:r w:rsidRPr="00B303F3">
        <w:rPr>
          <w:rFonts w:ascii="Barlow" w:hAnsi="Barlow"/>
          <w:sz w:val="24"/>
        </w:rPr>
        <w:t xml:space="preserve">  te izgraditi predviđene tehničko-tehnološke cjeline za prihvat, </w:t>
      </w:r>
      <w:r w:rsidRPr="00B303F3">
        <w:rPr>
          <w:rFonts w:ascii="Barlow" w:hAnsi="Barlow"/>
          <w:b/>
          <w:bCs/>
          <w:sz w:val="24"/>
        </w:rPr>
        <w:t>obradu iskoristivih dijelova otpada</w:t>
      </w:r>
      <w:r w:rsidRPr="00B303F3">
        <w:rPr>
          <w:rFonts w:ascii="Barlow" w:hAnsi="Barlow"/>
          <w:sz w:val="24"/>
        </w:rPr>
        <w:t xml:space="preserve"> i trajno zbrinjavanje neiskoristivih dijelova otpada.</w:t>
      </w:r>
    </w:p>
    <w:p w14:paraId="41C05FB4" w14:textId="77777777" w:rsidR="0026428C" w:rsidRPr="00B303F3" w:rsidRDefault="0026428C" w:rsidP="00B303F3">
      <w:pPr>
        <w:spacing w:line="276" w:lineRule="auto"/>
        <w:jc w:val="both"/>
        <w:rPr>
          <w:rFonts w:ascii="Barlow" w:hAnsi="Barlow"/>
          <w:sz w:val="24"/>
        </w:rPr>
      </w:pPr>
      <w:bookmarkStart w:id="0" w:name="_Hlk216694820"/>
      <w:r w:rsidRPr="00B303F3">
        <w:rPr>
          <w:rFonts w:ascii="Barlow" w:hAnsi="Barlow"/>
          <w:sz w:val="24"/>
        </w:rPr>
        <w:lastRenderedPageBreak/>
        <w:t xml:space="preserve">Pasus: Prema Zakonu o gospodarenju otpadom (NN 84/21, 142/23) (u daljnjem tekstu: ZGO), Strategiji gospodarenja otpadom u Republici Hrvatskoj (NN 130/05) i Odluci o donošenju Plana gospodarenja otpadom Republike Hrvatske za razdoblje 2023. - 2028. godine (NN 84/23) (u daljnjem tekstu PGO RH), županije su obvezne donijeti PGO za svoje područje. </w:t>
      </w:r>
      <w:bookmarkEnd w:id="0"/>
    </w:p>
    <w:p w14:paraId="0C24649F"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Smatramo kako je potrebno nadopuniti pasus sa informacijama i razlozima u  kašnjenje  donošenja PGO SDŽ te obrazložiti kako je moguće da se PGO SDŽ primjenjuje retrogradno za razdoblje od 2024. do 2029. Podsjećamo zakonski rok za donošenje PGO SDŽ bio je 1.1.2024. </w:t>
      </w:r>
    </w:p>
    <w:p w14:paraId="6B34CE46"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Na strani 6. ističe se: Planom gospodarenja otpadom Splitsko - dalmatinske županije je potrebno propisati </w:t>
      </w:r>
      <w:r w:rsidRPr="00B303F3">
        <w:rPr>
          <w:rFonts w:ascii="Barlow" w:hAnsi="Barlow"/>
          <w:b/>
          <w:bCs/>
          <w:sz w:val="24"/>
        </w:rPr>
        <w:t>poticajne mjere izbjegavanja stvaranja otpada</w:t>
      </w:r>
      <w:r w:rsidRPr="00B303F3">
        <w:rPr>
          <w:rFonts w:ascii="Barlow" w:hAnsi="Barlow"/>
          <w:sz w:val="24"/>
        </w:rPr>
        <w:t xml:space="preserve">, mjere razvrstavanja i odvajanja otpada u domaćinstvima, mjere uspostave </w:t>
      </w:r>
      <w:proofErr w:type="spellStart"/>
      <w:r w:rsidRPr="00B303F3">
        <w:rPr>
          <w:rFonts w:ascii="Barlow" w:hAnsi="Barlow"/>
          <w:sz w:val="24"/>
        </w:rPr>
        <w:t>reciklažnih</w:t>
      </w:r>
      <w:proofErr w:type="spellEnd"/>
      <w:r w:rsidRPr="00B303F3">
        <w:rPr>
          <w:rFonts w:ascii="Barlow" w:hAnsi="Barlow"/>
          <w:sz w:val="24"/>
        </w:rPr>
        <w:t xml:space="preserve"> dvorišta, mjere obrade otpada prije njegovog odlaganja, mjere sanacije postojećih lokacija onečišćenih otpadom i dr.</w:t>
      </w:r>
    </w:p>
    <w:p w14:paraId="63DA3B34"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Smatramo kako nije potrebno propisati  mjere za razvrstavanje i odvajanje otpada u domaćinstvima, već mjere koje će </w:t>
      </w:r>
      <w:r w:rsidRPr="00B303F3">
        <w:rPr>
          <w:rFonts w:ascii="Barlow" w:hAnsi="Barlow"/>
          <w:b/>
          <w:bCs/>
          <w:sz w:val="24"/>
        </w:rPr>
        <w:t>osigurati sustave za odvojeno prikupljanje otpada iz domaćinstava</w:t>
      </w:r>
      <w:r w:rsidRPr="00B303F3">
        <w:rPr>
          <w:rFonts w:ascii="Barlow" w:hAnsi="Barlow"/>
          <w:sz w:val="24"/>
        </w:rPr>
        <w:t xml:space="preserve">, što je vidljivo da nedostaje u velikom broju općina i gradova na području županije a što je vidljivo iz tablice Tablica 2.2.1.2-3. Pregled odvojenog sakupljanja otpada po JLS u Splitsko - dalmatinskoj županiji na obračunskom mjestu „od vrata do vrata“ u 2023. godini. Splitsko-dalmatinska županija  koja </w:t>
      </w:r>
      <w:proofErr w:type="spellStart"/>
      <w:r w:rsidRPr="00B303F3">
        <w:rPr>
          <w:rFonts w:ascii="Barlow" w:hAnsi="Barlow"/>
          <w:sz w:val="24"/>
        </w:rPr>
        <w:t>oporabljuje</w:t>
      </w:r>
      <w:proofErr w:type="spellEnd"/>
      <w:r w:rsidRPr="00B303F3">
        <w:rPr>
          <w:rFonts w:ascii="Barlow" w:hAnsi="Barlow"/>
          <w:sz w:val="24"/>
        </w:rPr>
        <w:t xml:space="preserve"> samo 3 % prikupljenih materijala. dijeli posljednje mjesto zajedno s Dubrovačko-neretvanskom i Ličko-senjskom županijom. </w:t>
      </w:r>
    </w:p>
    <w:p w14:paraId="461E29C2"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Strana 15.</w:t>
      </w:r>
    </w:p>
    <w:p w14:paraId="0E34D896" w14:textId="77777777" w:rsidR="0026428C" w:rsidRPr="00B303F3" w:rsidRDefault="0026428C" w:rsidP="00B303F3">
      <w:pPr>
        <w:spacing w:line="276" w:lineRule="auto"/>
        <w:jc w:val="both"/>
        <w:rPr>
          <w:rFonts w:ascii="Barlow" w:hAnsi="Barlow"/>
          <w:sz w:val="24"/>
        </w:rPr>
      </w:pPr>
      <w:r w:rsidRPr="00B303F3">
        <w:rPr>
          <w:rFonts w:ascii="Barlow" w:hAnsi="Barlow"/>
          <w:sz w:val="24"/>
        </w:rPr>
        <w:t>U pojmovnik na stranici 15. nije definirano što je Posebna kategorija otpada.</w:t>
      </w:r>
    </w:p>
    <w:p w14:paraId="1C65B58E"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Strana 22. i 25.</w:t>
      </w:r>
    </w:p>
    <w:p w14:paraId="04F2D1DF" w14:textId="77777777" w:rsidR="0026428C" w:rsidRPr="00B303F3" w:rsidRDefault="0026428C" w:rsidP="00B303F3">
      <w:pPr>
        <w:spacing w:line="276" w:lineRule="auto"/>
        <w:jc w:val="both"/>
        <w:rPr>
          <w:rFonts w:ascii="Barlow" w:hAnsi="Barlow"/>
          <w:b/>
          <w:bCs/>
          <w:sz w:val="24"/>
        </w:rPr>
      </w:pPr>
      <w:r w:rsidRPr="00B303F3">
        <w:rPr>
          <w:rFonts w:ascii="Barlow" w:hAnsi="Barlow"/>
          <w:sz w:val="24"/>
        </w:rPr>
        <w:t xml:space="preserve">Rast BDP ukazuje na ekonomski oporavak, međutim u PGO SDŽ je potrebno je povezati rast BDP sa rastom pritiska na okoliš. Naime, povećani BDP rezultat je i turizma koji za posljedicu ima negativan učinak na okoliš i na ionako opterećenu infrastrukturu i prostorne kapacitete Županije. </w:t>
      </w:r>
    </w:p>
    <w:p w14:paraId="7269FDD9" w14:textId="77777777" w:rsidR="0026428C" w:rsidRPr="00B303F3" w:rsidRDefault="0026428C" w:rsidP="00B303F3">
      <w:pPr>
        <w:spacing w:line="276" w:lineRule="auto"/>
        <w:jc w:val="both"/>
        <w:rPr>
          <w:rFonts w:ascii="Barlow" w:hAnsi="Barlow"/>
          <w:sz w:val="24"/>
        </w:rPr>
      </w:pPr>
      <w:r w:rsidRPr="00B303F3">
        <w:rPr>
          <w:rFonts w:ascii="Barlow" w:hAnsi="Barlow"/>
          <w:sz w:val="24"/>
        </w:rPr>
        <w:t>Napominjemo kako je BDP je tek jedna mjera za razvojna kretanja. Rast BDP ne mora nužno ukazivati na porast kvalitete života, te je potrebno koristiti i druge indekse poput UN-Human Development Indeks i/ili očuvanost prirodnih resursa.</w:t>
      </w:r>
    </w:p>
    <w:p w14:paraId="12C692EC" w14:textId="24FF8D80" w:rsidR="0026428C" w:rsidRPr="00B303F3" w:rsidRDefault="0026428C" w:rsidP="00B303F3">
      <w:pPr>
        <w:spacing w:line="276" w:lineRule="auto"/>
        <w:jc w:val="both"/>
        <w:rPr>
          <w:rFonts w:ascii="Barlow" w:hAnsi="Barlow"/>
          <w:sz w:val="24"/>
        </w:rPr>
      </w:pPr>
      <w:r w:rsidRPr="00B303F3">
        <w:rPr>
          <w:rFonts w:ascii="Barlow" w:hAnsi="Barlow"/>
          <w:sz w:val="24"/>
        </w:rPr>
        <w:t>Iako ne daje jasnu liku do danas je BDP ostao najprisutniji faktor određivanja uspjeha neke zemlje, pa se tako koristi i u PGO SDŽ. No računanje razvijenosti SDŽ po BDP-u može dati iskrivljenu sliku ako nas više zanima kvaliteta života Županije, a manje njezina ekonomija. Zato nas mogu zbunjivati pojmovi “životni standard” i “kvaliteta života” koji se često koriste kao istovjetni, premda su zapravo prilično različiti. Prvi pojam jest tehničkog karaktera i označuje “stopu trošenja kupljenih roba i usluga po glavi stanovnika” (</w:t>
      </w:r>
      <w:proofErr w:type="spellStart"/>
      <w:r w:rsidRPr="00B303F3">
        <w:rPr>
          <w:rFonts w:ascii="Barlow" w:hAnsi="Barlow"/>
          <w:sz w:val="24"/>
        </w:rPr>
        <w:t>Douhtwaite</w:t>
      </w:r>
      <w:proofErr w:type="spellEnd"/>
      <w:r w:rsidRPr="00B303F3">
        <w:rPr>
          <w:rFonts w:ascii="Barlow" w:hAnsi="Barlow"/>
          <w:sz w:val="24"/>
        </w:rPr>
        <w:t xml:space="preserve">, 1999), što je u direktnoj opreci s prioritetima u gospodarenju otpadom i nužnom potrebom smanjivanja konzumerizma. Drugi je pojam bliži mjerenju nečijeg osjećaja o stupnju opće dobrobiti u društvu, sreći ili </w:t>
      </w:r>
      <w:r w:rsidRPr="00B303F3">
        <w:rPr>
          <w:rFonts w:ascii="Barlow" w:hAnsi="Barlow"/>
          <w:sz w:val="24"/>
        </w:rPr>
        <w:lastRenderedPageBreak/>
        <w:t>zadovoljstvu životom. Kada računamo bruto društveni proizvod, mjerimo samo stvari koje se kupuju i prodaju novcem. Izvan njegova dosega ostaju pitka voda, prirodne ljepote i bioraznolikost, čist zrak, rad u kući, međuljudski odnosi i brojne druge kategorije važne za naš osjećaj o kvaliteti života. Pojasnimo: ako neka zemlja posiječe sva svoja stabla i preradi ih u drvnu građu, te je izveze, njezin BDP će porasti. Ekološke katastrofe i njihovo saniranje uzrokovat će porast BDP-a, zbrinjavanje opasnog otpada iz drugih zemalja također će uzrokovati porast BDP-a. No ljudi sigurno neće osjećati zadovoljstvo ili sreću zbog toga te je velika vjerojatnost da će njihovo zdravlje biti ugroženo. BDP također ne uključuje bilo koje oblike rada ili transakcija ako ne uključuju novčane transakcije. Tako su isključeni volonterski rad, rad u kući, čuvanje i briga za djecu, kuhanje i spremanje. Izvor. D. Šimleša, Kako gazimo planet – Svijet i Hrvatska</w:t>
      </w:r>
    </w:p>
    <w:p w14:paraId="66FF1823"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Strana 25.</w:t>
      </w:r>
    </w:p>
    <w:p w14:paraId="634DDD97"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Rečenicu: </w:t>
      </w:r>
      <w:r w:rsidRPr="00B303F3">
        <w:rPr>
          <w:rFonts w:ascii="Barlow" w:hAnsi="Barlow"/>
          <w:i/>
          <w:iCs/>
          <w:sz w:val="24"/>
        </w:rPr>
        <w:t>Najznačajniji pad BDP-a po stanovniku evidentiran je u 2020. godini, što je posljedica negativnih ekonomskih učinaka pandemije COVID-19</w:t>
      </w:r>
      <w:r w:rsidRPr="00B303F3">
        <w:rPr>
          <w:rFonts w:ascii="Barlow" w:hAnsi="Barlow"/>
          <w:sz w:val="24"/>
        </w:rPr>
        <w:t xml:space="preserve"> potrebno je dopuniti s informacijom o pozitivnim učincima COVID-19 na okoliša i na smanjivanje stvorene količine otpada po stanovniku. </w:t>
      </w:r>
    </w:p>
    <w:p w14:paraId="3D3AD2C1"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Naime, klasičan gospodarski rast ne može biti mjerilo razvoja kada smo više nego ikad suočeni s brojnim okolišnim problemima i klimatskim promjenama. Ovo se osobito ocrtava kroz </w:t>
      </w:r>
      <w:proofErr w:type="spellStart"/>
      <w:r w:rsidRPr="00B303F3">
        <w:rPr>
          <w:rFonts w:ascii="Barlow" w:hAnsi="Barlow"/>
          <w:sz w:val="24"/>
        </w:rPr>
        <w:t>Covid</w:t>
      </w:r>
      <w:proofErr w:type="spellEnd"/>
      <w:r w:rsidRPr="00B303F3">
        <w:rPr>
          <w:rFonts w:ascii="Barlow" w:hAnsi="Barlow"/>
          <w:sz w:val="24"/>
        </w:rPr>
        <w:t xml:space="preserve"> krizu. Pritisak koji eksponencijalno povećanje oboljelih uslijed pandemije izazvane </w:t>
      </w:r>
      <w:proofErr w:type="spellStart"/>
      <w:r w:rsidRPr="00B303F3">
        <w:rPr>
          <w:rFonts w:ascii="Barlow" w:hAnsi="Barlow"/>
          <w:sz w:val="24"/>
        </w:rPr>
        <w:t>Covid</w:t>
      </w:r>
      <w:proofErr w:type="spellEnd"/>
      <w:r w:rsidRPr="00B303F3">
        <w:rPr>
          <w:rFonts w:ascii="Barlow" w:hAnsi="Barlow"/>
          <w:sz w:val="24"/>
        </w:rPr>
        <w:t xml:space="preserve"> virusom, vrši na naš zdravstveni sustav usporediv je s pritiskom koji rast naših gospodarstava vrši na planet Zemlju i njene resurse. Pritom Hrvatska, pa tako i SDŽ daje svoj doprinos vršeći pritisak na prirodne resurse njihovim neodrživim upravljanjem. Izlaz iz krize treba biti utemeljen na napuštanju slijepe privrženosti ekonomskom rastu te hitnoj redistribuciji postojećih dobara u planetarnim ograničenjima. U protivnom riskiramo sve češće scenarije blokade poput ovog uzrokovanog korona virusom, ali uslijed posljedica okolišne krize. Razvoj RH, pa tako SDŽ ne treba sagledavati kao kvantitativni rast nego kao pokazatelje postaviti kvalitetu razvoja. </w:t>
      </w:r>
    </w:p>
    <w:p w14:paraId="14B41B58"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Strana 28. i dalje kroz tekst</w:t>
      </w:r>
    </w:p>
    <w:p w14:paraId="5C89C1A7" w14:textId="77777777" w:rsidR="0026428C" w:rsidRPr="00B303F3" w:rsidRDefault="0026428C" w:rsidP="00B303F3">
      <w:pPr>
        <w:spacing w:line="276" w:lineRule="auto"/>
        <w:jc w:val="both"/>
        <w:rPr>
          <w:rFonts w:ascii="Barlow" w:hAnsi="Barlow"/>
          <w:sz w:val="24"/>
        </w:rPr>
      </w:pPr>
      <w:r w:rsidRPr="00B303F3">
        <w:rPr>
          <w:rFonts w:ascii="Barlow" w:hAnsi="Barlow"/>
          <w:sz w:val="24"/>
        </w:rPr>
        <w:t>Ponavljaju se definicije navedene u Pojmovniku čime se nepotrebno opterećuje ionako opsežan dokument (str 28. komunalni otpad, biorazgradivi komunalni otpad na strani 80. , biootpad na strani 87, medicinski otpad  na strani 117, otpadna električna i elektronička oprema na strani 118  i dr.), a koji unatoč opsežnosti ne daje konkretne i jasne mjere za postizanje održivog gospodarenja otpadom u Splitsko-dalmatinskoj županiji.</w:t>
      </w:r>
    </w:p>
    <w:p w14:paraId="2BD716D6"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 xml:space="preserve">Strana 36. </w:t>
      </w:r>
    </w:p>
    <w:p w14:paraId="7593CA2F" w14:textId="77777777" w:rsidR="0026428C" w:rsidRPr="00B303F3" w:rsidRDefault="0026428C" w:rsidP="00B303F3">
      <w:pPr>
        <w:spacing w:line="276" w:lineRule="auto"/>
        <w:jc w:val="both"/>
        <w:rPr>
          <w:rFonts w:ascii="Barlow" w:hAnsi="Barlow"/>
          <w:b/>
          <w:bCs/>
          <w:sz w:val="24"/>
        </w:rPr>
      </w:pPr>
      <w:r w:rsidRPr="00B303F3">
        <w:rPr>
          <w:rFonts w:ascii="Barlow" w:hAnsi="Barlow"/>
          <w:sz w:val="24"/>
        </w:rPr>
        <w:t xml:space="preserve">Smatramo kako navodi vezani </w:t>
      </w:r>
      <w:r w:rsidRPr="00B303F3">
        <w:rPr>
          <w:rFonts w:ascii="Barlow" w:hAnsi="Barlow"/>
          <w:i/>
          <w:iCs/>
          <w:sz w:val="24"/>
        </w:rPr>
        <w:t xml:space="preserve">uz odvojeno sakupljanje barem jedne od korisnih vrsta otpada iz komunalnog otpada (papir i karton, plastika, staklo, metal, glomazni otpad, tekstil i biootpad) u okviru javne usluge u 2022. godini se sukladno podacima navedenim u IRDJU obrascu za 2022. </w:t>
      </w:r>
      <w:r w:rsidRPr="00B303F3">
        <w:rPr>
          <w:rFonts w:ascii="Barlow" w:hAnsi="Barlow"/>
          <w:i/>
          <w:iCs/>
          <w:sz w:val="24"/>
        </w:rPr>
        <w:lastRenderedPageBreak/>
        <w:t>godinu provodilo u 42 JLS Splitsko – dalmatinske županije</w:t>
      </w:r>
      <w:r w:rsidRPr="00B303F3">
        <w:rPr>
          <w:rFonts w:ascii="Barlow" w:hAnsi="Barlow"/>
          <w:b/>
          <w:bCs/>
          <w:sz w:val="24"/>
        </w:rPr>
        <w:t xml:space="preserve"> NISU POTREBNI. U Planu je dovoljno jasno iskazati stanje vezano uz odvojeno prikupljanje otpada za svaku JLS u Županiji te razmotriti mjere koje će građanima osigurati odvojeno prikupljanje tamo gdje se ne provodi zadovoljavajuće.</w:t>
      </w:r>
    </w:p>
    <w:p w14:paraId="41C060FD"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Strana 50.</w:t>
      </w:r>
    </w:p>
    <w:p w14:paraId="0C55A3C1"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Podaci na grafičkom prikazu na stranici 50. nisu usuglašeni s podacima u prethodnoj tablici, pa je tako primjerice za Vis,  </w:t>
      </w:r>
      <w:proofErr w:type="spellStart"/>
      <w:r w:rsidRPr="00B303F3">
        <w:rPr>
          <w:rFonts w:ascii="Barlow" w:hAnsi="Barlow"/>
          <w:sz w:val="24"/>
        </w:rPr>
        <w:t>Milnu</w:t>
      </w:r>
      <w:proofErr w:type="spellEnd"/>
      <w:r w:rsidRPr="00B303F3">
        <w:rPr>
          <w:rFonts w:ascii="Barlow" w:hAnsi="Barlow"/>
          <w:sz w:val="24"/>
        </w:rPr>
        <w:t xml:space="preserve"> na Braču, Muć označeno kako odvojeno prikupljaju više vrsta otpada, dok je gornjoj tablici navedeno kako nisu dostavili dostavljeni IRDJU za 2023. godinu.</w:t>
      </w:r>
    </w:p>
    <w:p w14:paraId="4C77CE6C"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Stranici 51.</w:t>
      </w:r>
    </w:p>
    <w:p w14:paraId="2B36DEA0"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U tablici 2.2.1.2-4. Pregled odvojenog sakupljanja </w:t>
      </w:r>
      <w:proofErr w:type="spellStart"/>
      <w:r w:rsidRPr="00B303F3">
        <w:rPr>
          <w:rFonts w:ascii="Barlow" w:hAnsi="Barlow"/>
          <w:sz w:val="24"/>
        </w:rPr>
        <w:t>reciklabilnog</w:t>
      </w:r>
      <w:proofErr w:type="spellEnd"/>
      <w:r w:rsidRPr="00B303F3">
        <w:rPr>
          <w:rFonts w:ascii="Barlow" w:hAnsi="Barlow"/>
          <w:sz w:val="24"/>
        </w:rPr>
        <w:t xml:space="preserve"> otpada po JLS u Splitsko - dalmatinskoj županiji (po principu „od vrata do vrata“ ili putem spremnika na javnim površinama) u 2021. godini još su nejasniji podaci. Tako nije jasno zašto su otpadna plastika, metal i staklo označeni kao </w:t>
      </w:r>
      <w:proofErr w:type="spellStart"/>
      <w:r w:rsidRPr="00B303F3">
        <w:rPr>
          <w:rFonts w:ascii="Barlow" w:hAnsi="Barlow"/>
          <w:sz w:val="24"/>
        </w:rPr>
        <w:t>reciklabilni</w:t>
      </w:r>
      <w:proofErr w:type="spellEnd"/>
      <w:r w:rsidRPr="00B303F3">
        <w:rPr>
          <w:rFonts w:ascii="Barlow" w:hAnsi="Barlow"/>
          <w:sz w:val="24"/>
        </w:rPr>
        <w:t xml:space="preserve"> otpad, do primjerice papir i karton nisu? Još manje je jasno zašto je za neke gradove/općine navedeno kako se prikuplja metal dok to u gornjoj tablici nije navedeno? (npr. Vrgorac). Ako se radi o prikupljenom metalu putem </w:t>
      </w:r>
      <w:proofErr w:type="spellStart"/>
      <w:r w:rsidRPr="00B303F3">
        <w:rPr>
          <w:rFonts w:ascii="Barlow" w:hAnsi="Barlow"/>
          <w:sz w:val="24"/>
        </w:rPr>
        <w:t>reciklažnih</w:t>
      </w:r>
      <w:proofErr w:type="spellEnd"/>
      <w:r w:rsidRPr="00B303F3">
        <w:rPr>
          <w:rFonts w:ascii="Barlow" w:hAnsi="Barlow"/>
          <w:sz w:val="24"/>
        </w:rPr>
        <w:t xml:space="preserve"> dvorišta zašto to nije naznačeno?</w:t>
      </w:r>
    </w:p>
    <w:p w14:paraId="73076E59"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Sukladno svemu navedenom niti Slika 2.2.1.2-6. Pregled odvojenog sakupljanja </w:t>
      </w:r>
      <w:proofErr w:type="spellStart"/>
      <w:r w:rsidRPr="00B303F3">
        <w:rPr>
          <w:rFonts w:ascii="Barlow" w:hAnsi="Barlow"/>
          <w:sz w:val="24"/>
        </w:rPr>
        <w:t>reciklabilnog</w:t>
      </w:r>
      <w:proofErr w:type="spellEnd"/>
      <w:r w:rsidRPr="00B303F3">
        <w:rPr>
          <w:rFonts w:ascii="Barlow" w:hAnsi="Barlow"/>
          <w:sz w:val="24"/>
        </w:rPr>
        <w:t xml:space="preserve"> otpada po JLS u Splitsko – dalmatinskoj županiji (po principu od vrata do vrata“ ili putem spremnika na javnim površinama) (Izvor: IRJDU obrazac za 2021. godinu, obrada: Alfa Atest d.o.o.) nije točna. Predlažemo provjeru i ostalih grafičkih prikaza i njihove usklađenosti podacima u tablicama.</w:t>
      </w:r>
    </w:p>
    <w:p w14:paraId="7F213E72" w14:textId="77777777" w:rsidR="0026428C" w:rsidRPr="00B303F3" w:rsidRDefault="0026428C" w:rsidP="00B303F3">
      <w:pPr>
        <w:spacing w:line="276" w:lineRule="auto"/>
        <w:jc w:val="both"/>
        <w:rPr>
          <w:rFonts w:ascii="Barlow" w:hAnsi="Barlow"/>
          <w:sz w:val="24"/>
        </w:rPr>
      </w:pPr>
      <w:r w:rsidRPr="00B303F3">
        <w:rPr>
          <w:rFonts w:ascii="Barlow" w:hAnsi="Barlow"/>
          <w:sz w:val="24"/>
        </w:rPr>
        <w:t>Nadalje, nije  jasno zašto se kombiniraju podaci vezani uz odvojeno prikupljanje „od vrata do vrata“ i spremnika na javim površinama.</w:t>
      </w:r>
    </w:p>
    <w:p w14:paraId="1DC60528" w14:textId="5A8C0745" w:rsidR="00006951" w:rsidRPr="008336CC" w:rsidRDefault="0026428C" w:rsidP="00B303F3">
      <w:pPr>
        <w:spacing w:line="276" w:lineRule="auto"/>
        <w:jc w:val="both"/>
        <w:rPr>
          <w:rFonts w:ascii="Barlow" w:hAnsi="Barlow"/>
          <w:sz w:val="24"/>
        </w:rPr>
      </w:pPr>
      <w:r w:rsidRPr="00B303F3">
        <w:rPr>
          <w:rFonts w:ascii="Barlow" w:hAnsi="Barlow"/>
          <w:sz w:val="24"/>
        </w:rPr>
        <w:t>Napominjemo kako nijedan grad niti općina nije dostigla zakonski propisane ciljeve recikliranja (55% mase komunalnog otpada do 2025. godine), te su obveznici plaćanja nacionalne naknade za odlaganje otpada za ukupno cca 56.000 tona, što rezultira fiskalnim troškom u iznosu od približno 1.694.970 eura godišnje. Dokument nigdje ne ističe ove troškove koje u konačnici snose građani. S druge strane ova sredstva mogu biti usmjerena u ostvarivanje boljeg gospodarenja otpadom u SDŽ i ispunjavanja zakonskih obveza.</w:t>
      </w:r>
    </w:p>
    <w:p w14:paraId="07FEE5F2" w14:textId="7AE42756" w:rsidR="0026428C" w:rsidRPr="00B303F3" w:rsidRDefault="0026428C" w:rsidP="00B303F3">
      <w:pPr>
        <w:spacing w:line="276" w:lineRule="auto"/>
        <w:jc w:val="both"/>
        <w:rPr>
          <w:rFonts w:ascii="Barlow" w:hAnsi="Barlow"/>
          <w:b/>
          <w:bCs/>
          <w:sz w:val="24"/>
        </w:rPr>
      </w:pPr>
      <w:r w:rsidRPr="00B303F3">
        <w:rPr>
          <w:rFonts w:ascii="Barlow" w:hAnsi="Barlow"/>
          <w:b/>
          <w:bCs/>
          <w:sz w:val="24"/>
        </w:rPr>
        <w:t>Strana 79.</w:t>
      </w:r>
    </w:p>
    <w:p w14:paraId="58C825EA"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Na strani 79. potrebno je jasno navesti o kojim se postupcima radi. </w:t>
      </w:r>
    </w:p>
    <w:p w14:paraId="11637A45"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Strana 83.</w:t>
      </w:r>
    </w:p>
    <w:p w14:paraId="30567100" w14:textId="77777777" w:rsidR="0026428C" w:rsidRPr="00B303F3" w:rsidRDefault="0026428C" w:rsidP="00B303F3">
      <w:pPr>
        <w:spacing w:line="276" w:lineRule="auto"/>
        <w:jc w:val="both"/>
        <w:rPr>
          <w:rFonts w:ascii="Barlow" w:hAnsi="Barlow"/>
          <w:sz w:val="24"/>
        </w:rPr>
      </w:pPr>
      <w:r w:rsidRPr="00B303F3">
        <w:rPr>
          <w:rFonts w:ascii="Barlow" w:hAnsi="Barlow"/>
          <w:sz w:val="24"/>
        </w:rPr>
        <w:t>Navedeno je: Za opasni otpad u trenutku izrade dokumenta nisu objavljeni ni obrađeni službeni podaci Ministarstva o stvarnim količinama opasnog otpada na razini županije ni na razini države.</w:t>
      </w:r>
    </w:p>
    <w:p w14:paraId="7F39CEDC" w14:textId="77777777" w:rsidR="0026428C" w:rsidRPr="00B303F3" w:rsidRDefault="0026428C" w:rsidP="00B303F3">
      <w:pPr>
        <w:spacing w:line="276" w:lineRule="auto"/>
        <w:jc w:val="both"/>
        <w:rPr>
          <w:rFonts w:ascii="Barlow" w:hAnsi="Barlow"/>
          <w:sz w:val="24"/>
        </w:rPr>
      </w:pPr>
      <w:r w:rsidRPr="00B303F3">
        <w:rPr>
          <w:rFonts w:ascii="Barlow" w:hAnsi="Barlow"/>
          <w:sz w:val="24"/>
        </w:rPr>
        <w:lastRenderedPageBreak/>
        <w:t>Ne prihvatljivo je da za najopasniju kategoriju otpada nemamo podatke! Koje su mjere Županije da se podatci počnu prikupljati? Koje su procijenjene količine opasnog otpada s obzirom na njegovo udio u komunalnom otpadu? Koje su procjene vezane uz količinu nepropisno odbačenog opasnog otpada? Koje su mjere koje će Županija poduzeti kako bi  umanjila ovu prijetnju po okoliš i zdravlje građana?</w:t>
      </w:r>
    </w:p>
    <w:p w14:paraId="67C1C129"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Strana 93.</w:t>
      </w:r>
    </w:p>
    <w:p w14:paraId="0F1C29D3" w14:textId="77777777" w:rsidR="0026428C" w:rsidRPr="00B303F3" w:rsidRDefault="0026428C" w:rsidP="00B303F3">
      <w:pPr>
        <w:spacing w:line="276" w:lineRule="auto"/>
        <w:jc w:val="both"/>
        <w:rPr>
          <w:rFonts w:ascii="Barlow" w:hAnsi="Barlow"/>
          <w:sz w:val="24"/>
        </w:rPr>
      </w:pPr>
      <w:bookmarkStart w:id="1" w:name="_Hlk216955486"/>
      <w:r w:rsidRPr="00B303F3">
        <w:rPr>
          <w:rFonts w:ascii="Barlow" w:hAnsi="Barlow"/>
          <w:sz w:val="24"/>
        </w:rPr>
        <w:t>Koji su razlozi zašto nema podataka na razini županije nije navedeno za gotovo sve kategorije posebnog otpada: tekstil, otpadna ambalaža, opasni otpad, gume, otpadna ulja, otpadne baterije, otpadna vozila, medicinski otpad</w:t>
      </w:r>
      <w:bookmarkEnd w:id="1"/>
      <w:r w:rsidRPr="00B303F3">
        <w:rPr>
          <w:rFonts w:ascii="Barlow" w:hAnsi="Barlow"/>
          <w:sz w:val="24"/>
        </w:rPr>
        <w:t>, a što bi bilo očekivano od ovakvog dokumenta. Naime, za očekivati je da je dokument niže razine utvrdi i  kvalitetu prijavljenih podataka iz SDŽ, utvrdi načine na koje se ova situacija može popraviti, koje se kazne mogu primijeniti ili na koji način motivirati odgovorne  za upis podataka. Međutim u dokumentu to nigdje ne stoji.</w:t>
      </w:r>
    </w:p>
    <w:p w14:paraId="467D34A8" w14:textId="77777777" w:rsidR="0026428C" w:rsidRPr="00B303F3" w:rsidRDefault="0026428C" w:rsidP="00B303F3">
      <w:pPr>
        <w:spacing w:line="276" w:lineRule="auto"/>
        <w:jc w:val="both"/>
        <w:rPr>
          <w:rFonts w:ascii="Barlow" w:hAnsi="Barlow"/>
          <w:i/>
          <w:iCs/>
          <w:sz w:val="24"/>
        </w:rPr>
      </w:pPr>
      <w:r w:rsidRPr="00B303F3">
        <w:rPr>
          <w:rFonts w:ascii="Barlow" w:hAnsi="Barlow"/>
          <w:b/>
          <w:bCs/>
          <w:sz w:val="24"/>
        </w:rPr>
        <w:t>Razlog koji se ponavlja kod svake posebne vrste otpada</w:t>
      </w:r>
      <w:r w:rsidRPr="00B303F3">
        <w:rPr>
          <w:rFonts w:ascii="Barlow" w:hAnsi="Barlow"/>
          <w:sz w:val="24"/>
        </w:rPr>
        <w:t xml:space="preserve"> je: </w:t>
      </w:r>
      <w:r w:rsidRPr="00B303F3">
        <w:rPr>
          <w:rFonts w:ascii="Barlow" w:hAnsi="Barlow"/>
          <w:i/>
          <w:iCs/>
          <w:sz w:val="24"/>
        </w:rPr>
        <w:t>Obzirom na opseg neprijavljivanja te pragove propisane za prijavu podataka u ROO, prijavljene količine ne uzimaju se kao službeni podaci o nastalom otpadu, već se koriste samo za potrebe usporedbe kvalitete prijave proizvođača otpada na županijskoj razini</w:t>
      </w:r>
    </w:p>
    <w:p w14:paraId="4C59E2ED" w14:textId="77777777" w:rsidR="0026428C" w:rsidRPr="00B303F3" w:rsidRDefault="0026428C" w:rsidP="00B303F3">
      <w:pPr>
        <w:spacing w:line="276" w:lineRule="auto"/>
        <w:jc w:val="both"/>
        <w:rPr>
          <w:rFonts w:ascii="Barlow" w:hAnsi="Barlow"/>
          <w:b/>
          <w:bCs/>
          <w:i/>
          <w:iCs/>
          <w:sz w:val="24"/>
        </w:rPr>
      </w:pPr>
      <w:r w:rsidRPr="00B303F3">
        <w:rPr>
          <w:rFonts w:ascii="Barlow" w:hAnsi="Barlow"/>
          <w:i/>
          <w:iCs/>
          <w:sz w:val="24"/>
        </w:rPr>
        <w:t xml:space="preserve">Za svaku od gore navedenih posebnih kategorija otpada navodi se: „obzirom na opseg neprijavljivanja te pragove propisane za prijavu podataka u ROO, prijavljene količine </w:t>
      </w:r>
      <w:r w:rsidRPr="00B303F3">
        <w:rPr>
          <w:rFonts w:ascii="Barlow" w:hAnsi="Barlow"/>
          <w:b/>
          <w:bCs/>
          <w:i/>
          <w:iCs/>
          <w:sz w:val="24"/>
        </w:rPr>
        <w:t>ne uzimaju se kao službeni podaci o nastalom otpadu, već se koriste samo za potrebe usporedbe kvalitete prijave proizvođača otpada na županijskoj razini“</w:t>
      </w:r>
    </w:p>
    <w:p w14:paraId="2F638C65"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Vezano uz otpadni tekstil cilj EU je do 1. siječnja 2025. uspostaviti odvojeno prikupljanje tekstila. Gdje je Županija i koje su mjere za postizanje uspješnog odvajanje otpadnog tekstila  iz PGO SDŽ ne može se iščitati. </w:t>
      </w:r>
    </w:p>
    <w:p w14:paraId="190DC08E" w14:textId="50C08D32" w:rsidR="0026428C" w:rsidRPr="00B303F3" w:rsidRDefault="0026428C" w:rsidP="00B303F3">
      <w:pPr>
        <w:spacing w:line="276" w:lineRule="auto"/>
        <w:jc w:val="both"/>
        <w:rPr>
          <w:rFonts w:ascii="Barlow" w:hAnsi="Barlow"/>
          <w:b/>
          <w:bCs/>
          <w:sz w:val="24"/>
        </w:rPr>
      </w:pPr>
      <w:r w:rsidRPr="00B303F3">
        <w:rPr>
          <w:rFonts w:ascii="Barlow" w:hAnsi="Barlow"/>
          <w:b/>
          <w:bCs/>
          <w:sz w:val="24"/>
        </w:rPr>
        <w:t>Strana 97</w:t>
      </w:r>
      <w:r w:rsidR="00006951">
        <w:rPr>
          <w:rFonts w:ascii="Barlow" w:hAnsi="Barlow"/>
          <w:b/>
          <w:bCs/>
          <w:sz w:val="24"/>
        </w:rPr>
        <w:t>.</w:t>
      </w:r>
    </w:p>
    <w:p w14:paraId="3FA0D476" w14:textId="77777777" w:rsidR="0026428C" w:rsidRPr="00B303F3" w:rsidRDefault="0026428C" w:rsidP="00B303F3">
      <w:pPr>
        <w:spacing w:line="276" w:lineRule="auto"/>
        <w:jc w:val="both"/>
        <w:rPr>
          <w:rFonts w:ascii="Barlow" w:hAnsi="Barlow"/>
          <w:sz w:val="24"/>
        </w:rPr>
      </w:pPr>
      <w:r w:rsidRPr="00B303F3">
        <w:rPr>
          <w:rFonts w:ascii="Barlow" w:hAnsi="Barlow"/>
          <w:b/>
          <w:bCs/>
          <w:sz w:val="24"/>
        </w:rPr>
        <w:t>U djelu plana Otpadni ribolovni alati</w:t>
      </w:r>
      <w:r w:rsidRPr="00B303F3">
        <w:rPr>
          <w:rFonts w:ascii="Barlow" w:hAnsi="Barlow"/>
          <w:sz w:val="24"/>
        </w:rPr>
        <w:t xml:space="preserve"> - u tekstu se  navodi Projekt HRPWD u sadašnjem vremenu („provodi se“). Napominjemo da je Projekt HRPWD – „Unaprjeđenje podataka o otpadu od plastike u Republici Hrvatskoj” završen u 2023. godini, te se predlaže uskladiti tekst Plana na način da se projekt dosljedno navodi u prošlom vremenu („proveden je“, „u okviru projekta prikupljeni su podaci“).</w:t>
      </w:r>
    </w:p>
    <w:p w14:paraId="18039AA5" w14:textId="77777777" w:rsidR="0026428C" w:rsidRPr="00B303F3" w:rsidRDefault="0026428C" w:rsidP="00B303F3">
      <w:pPr>
        <w:spacing w:line="276" w:lineRule="auto"/>
        <w:jc w:val="both"/>
        <w:rPr>
          <w:rFonts w:ascii="Barlow" w:hAnsi="Barlow"/>
          <w:sz w:val="24"/>
        </w:rPr>
      </w:pPr>
      <w:r w:rsidRPr="00B303F3">
        <w:rPr>
          <w:rFonts w:ascii="Barlow" w:hAnsi="Barlow"/>
          <w:sz w:val="24"/>
        </w:rPr>
        <w:t>U Planu se navode rezultati Projekta HRPWD, iako je riječ o istraživanju provedenom na nacionalnoj razini, bez raspoloživih podataka specifičnih za Splitsko-dalmatinsku županiju. Kako je i u samom  Planu navedeno, ne postoje stvarni podaci o količinama otpadnih ribolovnih alata na razini SDŽ, već isključivo procjene za Republiku Hrvatsku, koje nisu relevantne za županijsku razinu planiranja.</w:t>
      </w:r>
    </w:p>
    <w:p w14:paraId="5D50755F"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Slijedom navedenoga, nije jasno u kojoj mjeri detaljno navođenje nacionalnih podataka doprinosi ciljevima i provedivosti PGO SDŽ, osobito s obzirom na zagušenje teksta </w:t>
      </w:r>
      <w:r w:rsidRPr="00B303F3">
        <w:rPr>
          <w:rFonts w:ascii="Barlow" w:hAnsi="Barlow"/>
          <w:sz w:val="24"/>
        </w:rPr>
        <w:lastRenderedPageBreak/>
        <w:t>informacijama koje se ne mogu operativno primijeniti na županijskoj razini. Predlaže se racionalizirati navedeni dio Plana te ga usmjeriti na županijski kontekst, uz jasno razgraničenje između nacionalnih procjena i podataka relevantnih za SDŽ.</w:t>
      </w:r>
    </w:p>
    <w:p w14:paraId="72B397A6" w14:textId="77777777" w:rsidR="0026428C" w:rsidRPr="00B303F3" w:rsidRDefault="0026428C" w:rsidP="00B303F3">
      <w:pPr>
        <w:spacing w:line="276" w:lineRule="auto"/>
        <w:jc w:val="both"/>
        <w:rPr>
          <w:rFonts w:ascii="Barlow" w:hAnsi="Barlow"/>
          <w:sz w:val="24"/>
        </w:rPr>
      </w:pPr>
      <w:r w:rsidRPr="00B303F3">
        <w:rPr>
          <w:rFonts w:ascii="Barlow" w:hAnsi="Barlow"/>
          <w:b/>
          <w:bCs/>
          <w:sz w:val="24"/>
        </w:rPr>
        <w:t>Strana 110</w:t>
      </w:r>
      <w:r w:rsidRPr="00B303F3">
        <w:rPr>
          <w:rFonts w:ascii="Barlow" w:hAnsi="Barlow"/>
          <w:sz w:val="24"/>
        </w:rPr>
        <w:t>.</w:t>
      </w:r>
    </w:p>
    <w:p w14:paraId="6ECDA8D9" w14:textId="77777777" w:rsidR="0026428C" w:rsidRPr="00B303F3" w:rsidRDefault="0026428C" w:rsidP="00B303F3">
      <w:pPr>
        <w:spacing w:line="276" w:lineRule="auto"/>
        <w:jc w:val="both"/>
        <w:rPr>
          <w:rFonts w:ascii="Barlow" w:hAnsi="Barlow"/>
          <w:sz w:val="24"/>
        </w:rPr>
      </w:pPr>
      <w:r w:rsidRPr="00B303F3">
        <w:rPr>
          <w:rFonts w:ascii="Barlow" w:hAnsi="Barlow"/>
          <w:sz w:val="24"/>
        </w:rPr>
        <w:t>Na strani 110 ističe se:  Građevinski otpad je jedan od prepoznatljivih problema na području Splitsko - dalmatinske s obzirom na sve veći broj objekata koji se grade ili rekonstruiraju u sklopa povećanja turističke ponude. Očekuje se povećanje godišnje količine otpada za oko 10 % te procijenjena količina nastalog građevnog otpada (t) za 2024. godinu iznosi 153.394 t.</w:t>
      </w:r>
    </w:p>
    <w:p w14:paraId="62D37C40" w14:textId="77777777" w:rsidR="0026428C" w:rsidRPr="00B303F3" w:rsidRDefault="0026428C" w:rsidP="00B303F3">
      <w:pPr>
        <w:spacing w:line="276" w:lineRule="auto"/>
        <w:jc w:val="both"/>
        <w:rPr>
          <w:rFonts w:ascii="Barlow" w:hAnsi="Barlow"/>
          <w:sz w:val="24"/>
        </w:rPr>
      </w:pPr>
      <w:r w:rsidRPr="00B303F3">
        <w:rPr>
          <w:rFonts w:ascii="Barlow" w:hAnsi="Barlow"/>
          <w:sz w:val="24"/>
        </w:rPr>
        <w:t>Molimo pojašnjenje izrađivača Plana na temelju čega donosi procjene o povećanju godišnje količine otpada za oko 10 %?</w:t>
      </w:r>
    </w:p>
    <w:p w14:paraId="665280FC"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Strana 132.</w:t>
      </w:r>
    </w:p>
    <w:p w14:paraId="062B264E"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Ocjena stanja</w:t>
      </w:r>
    </w:p>
    <w:p w14:paraId="4069413F"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U ocjeni stanja koriste se podaci za 2021. i 2022. godinu, </w:t>
      </w:r>
      <w:r w:rsidRPr="00B303F3">
        <w:rPr>
          <w:rFonts w:ascii="Barlow" w:hAnsi="Barlow"/>
          <w:b/>
          <w:bCs/>
          <w:sz w:val="24"/>
        </w:rPr>
        <w:t>što ne smatramo relevantnim osobito nakon iznošenja podataka i iz 2023. i ponegdje iz 2024.</w:t>
      </w:r>
      <w:r w:rsidRPr="00B303F3">
        <w:rPr>
          <w:rFonts w:ascii="Barlow" w:hAnsi="Barlow"/>
          <w:sz w:val="24"/>
        </w:rPr>
        <w:t xml:space="preserve"> Također, iza svake tvrdnje navodi se kako se odnosi na 2021. godinu? Zašto ocjena stanja nije napravljena na temelju podataka iz 2024. godine, osobito vezano uz stanje s sprječavanjem nastanka otpada, ponovnom uporabom, odvojenim prikupljanjem, </w:t>
      </w:r>
      <w:proofErr w:type="spellStart"/>
      <w:r w:rsidRPr="00B303F3">
        <w:rPr>
          <w:rFonts w:ascii="Barlow" w:hAnsi="Barlow"/>
          <w:sz w:val="24"/>
        </w:rPr>
        <w:t>kompostana</w:t>
      </w:r>
      <w:proofErr w:type="spellEnd"/>
      <w:r w:rsidRPr="00B303F3">
        <w:rPr>
          <w:rFonts w:ascii="Barlow" w:hAnsi="Barlow"/>
          <w:sz w:val="24"/>
        </w:rPr>
        <w:t xml:space="preserve">, </w:t>
      </w:r>
      <w:proofErr w:type="spellStart"/>
      <w:r w:rsidRPr="00B303F3">
        <w:rPr>
          <w:rFonts w:ascii="Barlow" w:hAnsi="Barlow"/>
          <w:sz w:val="24"/>
        </w:rPr>
        <w:t>sortirnicama</w:t>
      </w:r>
      <w:proofErr w:type="spellEnd"/>
      <w:r w:rsidRPr="00B303F3">
        <w:rPr>
          <w:rFonts w:ascii="Barlow" w:hAnsi="Barlow"/>
          <w:sz w:val="24"/>
        </w:rPr>
        <w:t xml:space="preserve"> </w:t>
      </w:r>
      <w:proofErr w:type="spellStart"/>
      <w:r w:rsidRPr="00B303F3">
        <w:rPr>
          <w:rFonts w:ascii="Barlow" w:hAnsi="Barlow"/>
          <w:sz w:val="24"/>
        </w:rPr>
        <w:t>reciklažnim</w:t>
      </w:r>
      <w:proofErr w:type="spellEnd"/>
      <w:r w:rsidRPr="00B303F3">
        <w:rPr>
          <w:rFonts w:ascii="Barlow" w:hAnsi="Barlow"/>
          <w:sz w:val="24"/>
        </w:rPr>
        <w:t xml:space="preserve"> dvorištima?</w:t>
      </w:r>
    </w:p>
    <w:p w14:paraId="20F8EF98"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Tako se između ostalog navodi: </w:t>
      </w:r>
      <w:r w:rsidRPr="00B303F3">
        <w:rPr>
          <w:rFonts w:ascii="Barlow" w:hAnsi="Barlow"/>
          <w:i/>
          <w:iCs/>
          <w:sz w:val="24"/>
        </w:rPr>
        <w:t xml:space="preserve">sustav organiziranog načina prikupljanja komunalnog otpada na kućnom pragu, odvoza i odlaganja otpada uspostavljen je na području svih JLS na području Splitsko-dalmatinske županije. </w:t>
      </w:r>
      <w:r w:rsidRPr="00B303F3">
        <w:rPr>
          <w:rFonts w:ascii="Barlow" w:hAnsi="Barlow"/>
          <w:sz w:val="24"/>
        </w:rPr>
        <w:t xml:space="preserve"> Smatramo kako je potrebno dopuniti rečenicu: </w:t>
      </w:r>
      <w:r w:rsidRPr="00B303F3">
        <w:rPr>
          <w:rFonts w:ascii="Barlow" w:hAnsi="Barlow"/>
          <w:i/>
          <w:iCs/>
          <w:sz w:val="24"/>
        </w:rPr>
        <w:t xml:space="preserve">Sustav organiziranog načina prikupljanja </w:t>
      </w:r>
      <w:r w:rsidRPr="00B303F3">
        <w:rPr>
          <w:rFonts w:ascii="Barlow" w:hAnsi="Barlow"/>
          <w:b/>
          <w:bCs/>
          <w:i/>
          <w:iCs/>
          <w:sz w:val="24"/>
        </w:rPr>
        <w:t xml:space="preserve">miješanog </w:t>
      </w:r>
      <w:r w:rsidRPr="00B303F3">
        <w:rPr>
          <w:rFonts w:ascii="Barlow" w:hAnsi="Barlow"/>
          <w:i/>
          <w:iCs/>
          <w:sz w:val="24"/>
        </w:rPr>
        <w:t>komunalnog otpada na kućnom pragu, odvoza i odlaganja otpada uspostavljen je na području svih JLS na području Splitsko-dalmatinske županije</w:t>
      </w:r>
      <w:r w:rsidRPr="00B303F3">
        <w:rPr>
          <w:rFonts w:ascii="Barlow" w:hAnsi="Barlow"/>
          <w:sz w:val="24"/>
        </w:rPr>
        <w:t>.</w:t>
      </w:r>
    </w:p>
    <w:p w14:paraId="090C6EAB" w14:textId="77777777" w:rsidR="0026428C" w:rsidRPr="00B303F3" w:rsidRDefault="0026428C" w:rsidP="00B303F3">
      <w:pPr>
        <w:spacing w:line="276" w:lineRule="auto"/>
        <w:jc w:val="both"/>
        <w:rPr>
          <w:rFonts w:ascii="Barlow" w:hAnsi="Barlow"/>
          <w:sz w:val="24"/>
        </w:rPr>
      </w:pPr>
      <w:r w:rsidRPr="00B303F3">
        <w:rPr>
          <w:rFonts w:ascii="Barlow" w:hAnsi="Barlow"/>
          <w:sz w:val="24"/>
        </w:rPr>
        <w:t>Naime, iz podataka navedenih u Planu razvidno  je da sve JLS nisu organizirale odvojeno prikupljanje otpada na kućnom pragu, a što su obvezne prema Zakonu o otpadu. Nadalje, potrebno je navesti JLS koje su odvojeno prikupljale biootpad.</w:t>
      </w:r>
    </w:p>
    <w:p w14:paraId="3CFE3E6F"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Također u ocjeni stanja navedeno je kako:  </w:t>
      </w:r>
    </w:p>
    <w:p w14:paraId="00ADF787" w14:textId="77777777" w:rsidR="0026428C" w:rsidRPr="00B303F3" w:rsidRDefault="0026428C" w:rsidP="00107BAD">
      <w:pPr>
        <w:numPr>
          <w:ilvl w:val="1"/>
          <w:numId w:val="2"/>
        </w:numPr>
        <w:spacing w:after="160" w:line="276" w:lineRule="auto"/>
        <w:jc w:val="both"/>
        <w:rPr>
          <w:rFonts w:ascii="Barlow" w:hAnsi="Barlow"/>
          <w:sz w:val="24"/>
        </w:rPr>
      </w:pPr>
      <w:r w:rsidRPr="00B303F3">
        <w:rPr>
          <w:rFonts w:ascii="Barlow" w:hAnsi="Barlow"/>
          <w:i/>
          <w:iCs/>
          <w:sz w:val="24"/>
        </w:rPr>
        <w:t>Samo 19% JLS provodi odvojeno sakupljanje otpadnog metala</w:t>
      </w:r>
      <w:r w:rsidRPr="00B303F3">
        <w:rPr>
          <w:rFonts w:ascii="Barlow" w:hAnsi="Barlow"/>
          <w:sz w:val="24"/>
        </w:rPr>
        <w:t xml:space="preserve"> te samo nekoliko </w:t>
      </w:r>
      <w:proofErr w:type="spellStart"/>
      <w:r w:rsidRPr="00B303F3">
        <w:rPr>
          <w:rFonts w:ascii="Barlow" w:hAnsi="Barlow"/>
          <w:sz w:val="24"/>
        </w:rPr>
        <w:t>bulleta</w:t>
      </w:r>
      <w:proofErr w:type="spellEnd"/>
      <w:r w:rsidRPr="00B303F3">
        <w:rPr>
          <w:rFonts w:ascii="Barlow" w:hAnsi="Barlow"/>
          <w:sz w:val="24"/>
        </w:rPr>
        <w:t xml:space="preserve"> niže </w:t>
      </w:r>
      <w:r w:rsidRPr="00B303F3">
        <w:rPr>
          <w:rFonts w:ascii="Barlow" w:hAnsi="Barlow"/>
          <w:i/>
          <w:iCs/>
          <w:sz w:val="24"/>
        </w:rPr>
        <w:t>oko 74 % JLS provodi odvojeno sakupljanje otpadnog metala, dok 26 % JLS ne provodi odvojeno sakupljanje otpadnog metala</w:t>
      </w:r>
      <w:r w:rsidRPr="00B303F3">
        <w:rPr>
          <w:rFonts w:ascii="Barlow" w:hAnsi="Barlow"/>
          <w:sz w:val="24"/>
        </w:rPr>
        <w:t xml:space="preserve">. Koji je podatak točan? koliko se metala odvojeno prikupi, tko ga prikuplja te na koji način se </w:t>
      </w:r>
      <w:proofErr w:type="spellStart"/>
      <w:r w:rsidRPr="00B303F3">
        <w:rPr>
          <w:rFonts w:ascii="Barlow" w:hAnsi="Barlow"/>
          <w:sz w:val="24"/>
        </w:rPr>
        <w:t>oporabljuje</w:t>
      </w:r>
      <w:proofErr w:type="spellEnd"/>
      <w:r w:rsidRPr="00B303F3">
        <w:rPr>
          <w:rFonts w:ascii="Barlow" w:hAnsi="Barlow"/>
          <w:sz w:val="24"/>
        </w:rPr>
        <w:t xml:space="preserve"> nije navedeno. Smatramo kako bi plan trebao odgovoriti i na ovo pitanje.</w:t>
      </w:r>
    </w:p>
    <w:p w14:paraId="2CFDA94C" w14:textId="77777777" w:rsidR="0026428C" w:rsidRPr="00B303F3" w:rsidRDefault="0026428C" w:rsidP="00B303F3">
      <w:pPr>
        <w:spacing w:line="276" w:lineRule="auto"/>
        <w:jc w:val="both"/>
        <w:rPr>
          <w:rFonts w:ascii="Barlow" w:hAnsi="Barlow"/>
          <w:b/>
          <w:bCs/>
          <w:sz w:val="24"/>
        </w:rPr>
      </w:pPr>
      <w:r w:rsidRPr="00B303F3">
        <w:rPr>
          <w:rFonts w:ascii="Barlow" w:hAnsi="Barlow"/>
          <w:sz w:val="24"/>
        </w:rPr>
        <w:t xml:space="preserve">U tablici na strani 125. navedeni su podaci iz 2023. i iznosi se kako je 10 aktivnih odlagališta dok se u ocjeni stanja navodi 12 aktivnih odlagališta. </w:t>
      </w:r>
      <w:r w:rsidRPr="00B303F3">
        <w:rPr>
          <w:rFonts w:ascii="Barlow" w:hAnsi="Barlow"/>
          <w:b/>
          <w:bCs/>
          <w:sz w:val="24"/>
        </w:rPr>
        <w:t xml:space="preserve">Predlažemo izrađivaču da za ocjenu </w:t>
      </w:r>
      <w:r w:rsidRPr="00B303F3">
        <w:rPr>
          <w:rFonts w:ascii="Barlow" w:hAnsi="Barlow"/>
          <w:b/>
          <w:bCs/>
          <w:sz w:val="24"/>
        </w:rPr>
        <w:lastRenderedPageBreak/>
        <w:t>trenutnog stanka koristi najnovije podatke, a da se podaci iz prethodnih godina eventualno koriste za utvrđivanje trendova.</w:t>
      </w:r>
    </w:p>
    <w:p w14:paraId="1A548561"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Strana 134.</w:t>
      </w:r>
    </w:p>
    <w:p w14:paraId="378DA521" w14:textId="77777777" w:rsidR="0026428C" w:rsidRPr="00B303F3" w:rsidRDefault="0026428C" w:rsidP="00B303F3">
      <w:pPr>
        <w:spacing w:line="276" w:lineRule="auto"/>
        <w:jc w:val="both"/>
        <w:rPr>
          <w:rFonts w:ascii="Barlow" w:hAnsi="Barlow"/>
          <w:i/>
          <w:iCs/>
          <w:sz w:val="24"/>
        </w:rPr>
      </w:pPr>
      <w:r w:rsidRPr="00B303F3">
        <w:rPr>
          <w:rFonts w:ascii="Barlow" w:hAnsi="Barlow"/>
          <w:sz w:val="24"/>
        </w:rPr>
        <w:t xml:space="preserve">Nakon što je istaknuto postojeći </w:t>
      </w:r>
      <w:r w:rsidRPr="00B303F3">
        <w:rPr>
          <w:rFonts w:ascii="Barlow" w:hAnsi="Barlow"/>
          <w:b/>
          <w:bCs/>
          <w:sz w:val="24"/>
        </w:rPr>
        <w:t>sustav ne zadovoljava potpunosti navedeno je</w:t>
      </w:r>
      <w:r w:rsidRPr="00B303F3">
        <w:rPr>
          <w:rFonts w:ascii="Barlow" w:hAnsi="Barlow"/>
          <w:sz w:val="24"/>
        </w:rPr>
        <w:t xml:space="preserve">:  </w:t>
      </w:r>
      <w:r w:rsidRPr="00B303F3">
        <w:rPr>
          <w:rFonts w:ascii="Barlow" w:hAnsi="Barlow"/>
          <w:i/>
          <w:iCs/>
          <w:sz w:val="24"/>
        </w:rPr>
        <w:t xml:space="preserve">Da bi se postigla stopa recikliranja komunalnog i sličnog otpada, nužno je nastaviti s provođenjem informativno-obrazovnih aktivnosti usmjerenih na poticanje odvojenog sakupljanja otpada u okviru javne usluge, izgradnjom i opremanjem dodatnih </w:t>
      </w:r>
      <w:proofErr w:type="spellStart"/>
      <w:r w:rsidRPr="00B303F3">
        <w:rPr>
          <w:rFonts w:ascii="Barlow" w:hAnsi="Barlow"/>
          <w:i/>
          <w:iCs/>
          <w:sz w:val="24"/>
        </w:rPr>
        <w:t>reciklažnih</w:t>
      </w:r>
      <w:proofErr w:type="spellEnd"/>
      <w:r w:rsidRPr="00B303F3">
        <w:rPr>
          <w:rFonts w:ascii="Barlow" w:hAnsi="Barlow"/>
          <w:i/>
          <w:iCs/>
          <w:sz w:val="24"/>
        </w:rPr>
        <w:t xml:space="preserve"> dvorišta i nabavom opreme i vozila za prijevoz otpada uključujući i plovila te izgradnjom infrastrukture za sortiranje otpada, recikliranje i oporabu. </w:t>
      </w:r>
    </w:p>
    <w:p w14:paraId="5004BEBD" w14:textId="77777777" w:rsidR="0026428C" w:rsidRPr="00B303F3" w:rsidRDefault="0026428C" w:rsidP="00B303F3">
      <w:pPr>
        <w:spacing w:line="276" w:lineRule="auto"/>
        <w:jc w:val="both"/>
        <w:rPr>
          <w:rFonts w:ascii="Barlow" w:hAnsi="Barlow"/>
          <w:sz w:val="24"/>
        </w:rPr>
      </w:pPr>
      <w:r w:rsidRPr="00B303F3">
        <w:rPr>
          <w:rFonts w:ascii="Barlow" w:hAnsi="Barlow"/>
          <w:b/>
          <w:bCs/>
          <w:sz w:val="24"/>
        </w:rPr>
        <w:t>Smatramo kako redoslijed aktivnosti u rečenici nije primjeren.</w:t>
      </w:r>
      <w:r w:rsidRPr="00B303F3">
        <w:rPr>
          <w:rFonts w:ascii="Barlow" w:hAnsi="Barlow"/>
          <w:sz w:val="24"/>
        </w:rPr>
        <w:t xml:space="preserve"> Naime, da bi građani sudjelovali u sustavu odvojenog prikupljanja otpada i kako bi edukacijsko-informativne aktivnosti bile učinkovite potrebno je isti sustav prethodno uspostaviti na način da je pristupačan građanima i učinkovit.  Kako pokazuje analiza u ovom Planu u velikom broju gradova/općina u SDŽ ovo nije slučaj. Smatramo kako provedba edukacije bez uspostavljenog sustava ne može biti dovoljno učinkovita, čak je i kontraproduktivna i nedosljedna. Nadalje, smatramo kako edukacija i informiranje prvenstveno treba biti usmjereno na odgovorne osobe iz JLS-a, Županije i javnih komunalnih poduzeća te osobito one JLS koje su se pokazale dosad iznimno neuspješne i ne motivirane za uspostavu sustava održivog i odgovornog gospodarenja otpadom. Slijedom svega navedenog, predlažemo sljedeću formulaciju pasusa: </w:t>
      </w:r>
    </w:p>
    <w:p w14:paraId="61162F6D"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Kako bi se postigla stopa recikliranja komunalnog i sličnog otpada, </w:t>
      </w:r>
      <w:r w:rsidRPr="00B303F3">
        <w:rPr>
          <w:rFonts w:ascii="Barlow" w:hAnsi="Barlow"/>
          <w:b/>
          <w:bCs/>
          <w:sz w:val="24"/>
        </w:rPr>
        <w:t xml:space="preserve">nužno je nastaviti sa organizacijom sustava odvojeno prikupljenog otpada na razini JLS-a, izgradnjom infrastrukture za sortiranje otpada, recikliranje i oporabu, izgradnjom i opremanjem </w:t>
      </w:r>
      <w:proofErr w:type="spellStart"/>
      <w:r w:rsidRPr="00B303F3">
        <w:rPr>
          <w:rFonts w:ascii="Barlow" w:hAnsi="Barlow"/>
          <w:b/>
          <w:bCs/>
          <w:sz w:val="24"/>
        </w:rPr>
        <w:t>kompostana</w:t>
      </w:r>
      <w:proofErr w:type="spellEnd"/>
      <w:r w:rsidRPr="00B303F3">
        <w:rPr>
          <w:rFonts w:ascii="Barlow" w:hAnsi="Barlow"/>
          <w:b/>
          <w:bCs/>
          <w:sz w:val="24"/>
        </w:rPr>
        <w:t xml:space="preserve"> osobito na otocima, dodatnih </w:t>
      </w:r>
      <w:proofErr w:type="spellStart"/>
      <w:r w:rsidRPr="00B303F3">
        <w:rPr>
          <w:rFonts w:ascii="Barlow" w:hAnsi="Barlow"/>
          <w:b/>
          <w:bCs/>
          <w:sz w:val="24"/>
        </w:rPr>
        <w:t>reciklažnih</w:t>
      </w:r>
      <w:proofErr w:type="spellEnd"/>
      <w:r w:rsidRPr="00B303F3">
        <w:rPr>
          <w:rFonts w:ascii="Barlow" w:hAnsi="Barlow"/>
          <w:b/>
          <w:bCs/>
          <w:sz w:val="24"/>
        </w:rPr>
        <w:t xml:space="preserve"> dvorišta i nabavom opreme i vozila za prijevoz otpada uključujući i plovila. Paralelno potrebno je provodi edukaciju predstavnika svih JLS-a i komunalnih poduzeća u SDŽ, a  u onim JLS-ima gdje su uspostavljeni sustavi potrebno je provoditi informativno-obrazovne aktivnosti usmjerene na poticanje odvojenog sakupljanja otpada u okviru javne usluge.</w:t>
      </w:r>
    </w:p>
    <w:p w14:paraId="2B264F7A"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Rečenicu: </w:t>
      </w:r>
      <w:r w:rsidRPr="00B303F3">
        <w:rPr>
          <w:rFonts w:ascii="Barlow" w:hAnsi="Barlow"/>
          <w:i/>
          <w:iCs/>
          <w:sz w:val="24"/>
        </w:rPr>
        <w:t xml:space="preserve">Kako bi se omogućila obrada biootpada neophodna je izgradnja </w:t>
      </w:r>
      <w:proofErr w:type="spellStart"/>
      <w:r w:rsidRPr="00B303F3">
        <w:rPr>
          <w:rFonts w:ascii="Barlow" w:hAnsi="Barlow"/>
          <w:i/>
          <w:iCs/>
          <w:sz w:val="24"/>
        </w:rPr>
        <w:t>kompostana</w:t>
      </w:r>
      <w:proofErr w:type="spellEnd"/>
      <w:r w:rsidRPr="00B303F3">
        <w:rPr>
          <w:rFonts w:ascii="Barlow" w:hAnsi="Barlow"/>
          <w:i/>
          <w:iCs/>
          <w:sz w:val="24"/>
        </w:rPr>
        <w:t xml:space="preserve">, posebno u dijelovima velikog sezonskog povećanja komunalnog otpada </w:t>
      </w:r>
      <w:r w:rsidRPr="00B303F3">
        <w:rPr>
          <w:rFonts w:ascii="Barlow" w:hAnsi="Barlow"/>
          <w:sz w:val="24"/>
        </w:rPr>
        <w:t>potrebno je dopuniti</w:t>
      </w:r>
    </w:p>
    <w:p w14:paraId="77C3BDDB"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Naime, u ocjeni stanja PGO RH navedeno je: </w:t>
      </w:r>
      <w:r w:rsidRPr="00B303F3">
        <w:rPr>
          <w:rFonts w:ascii="Barlow" w:hAnsi="Barlow"/>
          <w:i/>
          <w:iCs/>
          <w:sz w:val="24"/>
        </w:rPr>
        <w:t xml:space="preserve">Kako bi se omogućila obrada biootpada neophodna je izgradnja </w:t>
      </w:r>
      <w:proofErr w:type="spellStart"/>
      <w:r w:rsidRPr="00B303F3">
        <w:rPr>
          <w:rFonts w:ascii="Barlow" w:hAnsi="Barlow"/>
          <w:i/>
          <w:iCs/>
          <w:sz w:val="24"/>
        </w:rPr>
        <w:t>kompostana</w:t>
      </w:r>
      <w:proofErr w:type="spellEnd"/>
      <w:r w:rsidRPr="00B303F3">
        <w:rPr>
          <w:rFonts w:ascii="Barlow" w:hAnsi="Barlow"/>
          <w:i/>
          <w:iCs/>
          <w:sz w:val="24"/>
        </w:rPr>
        <w:t xml:space="preserve">, posebno u dijelovima velikog </w:t>
      </w:r>
      <w:proofErr w:type="spellStart"/>
      <w:r w:rsidRPr="00B303F3">
        <w:rPr>
          <w:rFonts w:ascii="Barlow" w:hAnsi="Barlow"/>
          <w:i/>
          <w:iCs/>
          <w:sz w:val="24"/>
        </w:rPr>
        <w:t>sezonalnog</w:t>
      </w:r>
      <w:proofErr w:type="spellEnd"/>
      <w:r w:rsidRPr="00B303F3">
        <w:rPr>
          <w:rFonts w:ascii="Barlow" w:hAnsi="Barlow"/>
          <w:i/>
          <w:iCs/>
          <w:sz w:val="24"/>
        </w:rPr>
        <w:t xml:space="preserve"> povećanja komunalnog otpada (obalne i otočne JLS). Ovo se posebno odnosi na uspostave </w:t>
      </w:r>
      <w:proofErr w:type="spellStart"/>
      <w:r w:rsidRPr="00B303F3">
        <w:rPr>
          <w:rFonts w:ascii="Barlow" w:hAnsi="Barlow"/>
          <w:i/>
          <w:iCs/>
          <w:sz w:val="24"/>
        </w:rPr>
        <w:t>kompostana</w:t>
      </w:r>
      <w:proofErr w:type="spellEnd"/>
      <w:r w:rsidRPr="00B303F3">
        <w:rPr>
          <w:rFonts w:ascii="Barlow" w:hAnsi="Barlow"/>
          <w:i/>
          <w:iCs/>
          <w:sz w:val="24"/>
        </w:rPr>
        <w:t xml:space="preserve"> na otocima te </w:t>
      </w:r>
      <w:proofErr w:type="spellStart"/>
      <w:r w:rsidRPr="00B303F3">
        <w:rPr>
          <w:rFonts w:ascii="Barlow" w:hAnsi="Barlow"/>
          <w:i/>
          <w:iCs/>
          <w:sz w:val="24"/>
        </w:rPr>
        <w:t>kompostana</w:t>
      </w:r>
      <w:proofErr w:type="spellEnd"/>
      <w:r w:rsidRPr="00B303F3">
        <w:rPr>
          <w:rFonts w:ascii="Barlow" w:hAnsi="Barlow"/>
          <w:i/>
          <w:iCs/>
          <w:sz w:val="24"/>
        </w:rPr>
        <w:t xml:space="preserve"> u dijelovima Republike Hrvatske gdje iste ne postoje.</w:t>
      </w:r>
      <w:r w:rsidRPr="00B303F3">
        <w:rPr>
          <w:rFonts w:ascii="Barlow" w:hAnsi="Barlow"/>
          <w:sz w:val="24"/>
        </w:rPr>
        <w:t xml:space="preserve">  U slučaju SDŽ i jedno i drugo je točno. Podsjećamo kako još u PGO SDŽ za razdoblje od 2007.-2015. predviđao 16 lokacija za male </w:t>
      </w:r>
      <w:proofErr w:type="spellStart"/>
      <w:r w:rsidRPr="00B303F3">
        <w:rPr>
          <w:rFonts w:ascii="Barlow" w:hAnsi="Barlow"/>
          <w:sz w:val="24"/>
        </w:rPr>
        <w:t>kompostane</w:t>
      </w:r>
      <w:proofErr w:type="spellEnd"/>
      <w:r w:rsidRPr="00B303F3">
        <w:rPr>
          <w:rFonts w:ascii="Barlow" w:hAnsi="Barlow"/>
          <w:sz w:val="24"/>
        </w:rPr>
        <w:t xml:space="preserve">, i to za: Vis, Hvar, Brač (Košer), Split (3), Sinj, Imotski i Vrgorac Kaštela, Omiš, Solin, Supetar, Trilj, Trogir (16 kom.) te realizaciju 7 </w:t>
      </w:r>
      <w:proofErr w:type="spellStart"/>
      <w:r w:rsidRPr="00B303F3">
        <w:rPr>
          <w:rFonts w:ascii="Barlow" w:hAnsi="Barlow"/>
          <w:sz w:val="24"/>
        </w:rPr>
        <w:t>kompostana</w:t>
      </w:r>
      <w:proofErr w:type="spellEnd"/>
      <w:r w:rsidRPr="00B303F3">
        <w:rPr>
          <w:rFonts w:ascii="Barlow" w:hAnsi="Barlow"/>
          <w:sz w:val="24"/>
        </w:rPr>
        <w:t xml:space="preserve">. Danas 10 godina nakon isteka ovog Plana ne postoji niti jedna </w:t>
      </w:r>
      <w:proofErr w:type="spellStart"/>
      <w:r w:rsidRPr="00B303F3">
        <w:rPr>
          <w:rFonts w:ascii="Barlow" w:hAnsi="Barlow"/>
          <w:sz w:val="24"/>
        </w:rPr>
        <w:t>kompostana</w:t>
      </w:r>
      <w:proofErr w:type="spellEnd"/>
      <w:r w:rsidRPr="00B303F3">
        <w:rPr>
          <w:rFonts w:ascii="Barlow" w:hAnsi="Barlow"/>
          <w:sz w:val="24"/>
        </w:rPr>
        <w:t xml:space="preserve"> u Županiji, unatoč što primjera dobre prakse ima </w:t>
      </w:r>
      <w:r w:rsidRPr="00B303F3">
        <w:rPr>
          <w:rFonts w:ascii="Barlow" w:hAnsi="Barlow"/>
          <w:sz w:val="24"/>
        </w:rPr>
        <w:lastRenderedPageBreak/>
        <w:t xml:space="preserve">u cijeloj Hrvatskoj, na otoku Krku i susjednoj nam </w:t>
      </w:r>
      <w:proofErr w:type="spellStart"/>
      <w:r w:rsidRPr="00B303F3">
        <w:rPr>
          <w:rFonts w:ascii="Barlow" w:hAnsi="Barlow"/>
          <w:sz w:val="24"/>
        </w:rPr>
        <w:t>Italjij</w:t>
      </w:r>
      <w:proofErr w:type="spellEnd"/>
      <w:r w:rsidRPr="00B303F3">
        <w:rPr>
          <w:rFonts w:ascii="Barlow" w:hAnsi="Barlow"/>
          <w:sz w:val="24"/>
        </w:rPr>
        <w:t xml:space="preserve">. Nadalje, s obzirom na važnost i ulogu kompostiranja u gospodarenju otpadom i osiguravanju kružne ekonomije za iznimno vrijedan resurs biootpad; smatramo da je potrebno dodati mjeru i aktivnosti usmjerene na poticanje kompostiranja. Stvaranje humusa kao konačnog produkta </w:t>
      </w:r>
      <w:proofErr w:type="spellStart"/>
      <w:r w:rsidRPr="00B303F3">
        <w:rPr>
          <w:rFonts w:ascii="Barlow" w:hAnsi="Barlow"/>
          <w:sz w:val="24"/>
        </w:rPr>
        <w:t>kompostana</w:t>
      </w:r>
      <w:proofErr w:type="spellEnd"/>
      <w:r w:rsidRPr="00B303F3">
        <w:rPr>
          <w:rFonts w:ascii="Barlow" w:hAnsi="Barlow"/>
          <w:sz w:val="24"/>
        </w:rPr>
        <w:t xml:space="preserve"> onemogućava daljnju degradaciju tla. Tlo je i u Hrvatskoj ugroženo i osiromašeno. Kompostiranje je mjera putem koje će se uz onemogućavanje daljnje degradacija tla istovremeno adekvatno gospodariti s biootpadom. Ovo se posebno odnosi na otoke i obalu.</w:t>
      </w:r>
    </w:p>
    <w:p w14:paraId="2B575FCA" w14:textId="77777777" w:rsidR="0026428C" w:rsidRPr="00B303F3" w:rsidRDefault="0026428C" w:rsidP="00B303F3">
      <w:pPr>
        <w:spacing w:line="276" w:lineRule="auto"/>
        <w:jc w:val="both"/>
        <w:rPr>
          <w:rFonts w:ascii="Barlow" w:hAnsi="Barlow"/>
          <w:i/>
          <w:iCs/>
          <w:sz w:val="24"/>
        </w:rPr>
      </w:pPr>
      <w:r w:rsidRPr="00B303F3">
        <w:rPr>
          <w:rFonts w:ascii="Barlow" w:hAnsi="Barlow"/>
          <w:sz w:val="24"/>
        </w:rPr>
        <w:t xml:space="preserve">Stoga predlažemo dopunu gornje rečenice: </w:t>
      </w:r>
      <w:r w:rsidRPr="00B303F3">
        <w:rPr>
          <w:rFonts w:ascii="Barlow" w:hAnsi="Barlow"/>
          <w:i/>
          <w:iCs/>
          <w:sz w:val="24"/>
        </w:rPr>
        <w:t xml:space="preserve">Kako bi se omogućila obrada biootpada neophodna je izgradnja </w:t>
      </w:r>
      <w:proofErr w:type="spellStart"/>
      <w:r w:rsidRPr="00B303F3">
        <w:rPr>
          <w:rFonts w:ascii="Barlow" w:hAnsi="Barlow"/>
          <w:i/>
          <w:iCs/>
          <w:sz w:val="24"/>
        </w:rPr>
        <w:t>kompostana</w:t>
      </w:r>
      <w:proofErr w:type="spellEnd"/>
      <w:r w:rsidRPr="00B303F3">
        <w:rPr>
          <w:rFonts w:ascii="Barlow" w:hAnsi="Barlow"/>
          <w:i/>
          <w:iCs/>
          <w:sz w:val="24"/>
        </w:rPr>
        <w:t xml:space="preserve">, posebno u dijelovima velikog sezonskog povećanja komunalnog otpada te na svim  otocima u Županiji, a  kako bi se stvorenim humusom omogućila obnova tla  na otocima te smanjili troškovi prijevoza komunalnog otpada sa otoka. Nadalje ova mjera ukoliko se koriste </w:t>
      </w:r>
      <w:proofErr w:type="spellStart"/>
      <w:r w:rsidRPr="00B303F3">
        <w:rPr>
          <w:rFonts w:ascii="Barlow" w:hAnsi="Barlow"/>
          <w:i/>
          <w:iCs/>
          <w:sz w:val="24"/>
        </w:rPr>
        <w:t>kompostane</w:t>
      </w:r>
      <w:proofErr w:type="spellEnd"/>
      <w:r w:rsidRPr="00B303F3">
        <w:rPr>
          <w:rFonts w:ascii="Barlow" w:hAnsi="Barlow"/>
          <w:i/>
          <w:iCs/>
          <w:sz w:val="24"/>
        </w:rPr>
        <w:t xml:space="preserve"> zatvorenog tipa može doprinijeti i smanjivanju stvaranja otpada od hrane koji je rezultat  ugostiteljskih aktivnosti  te predstavlja veliki problem tijekom turističke sezone.</w:t>
      </w:r>
    </w:p>
    <w:p w14:paraId="52028B25" w14:textId="77777777" w:rsidR="0026428C" w:rsidRPr="00B303F3" w:rsidRDefault="0026428C" w:rsidP="00B303F3">
      <w:pPr>
        <w:spacing w:line="276" w:lineRule="auto"/>
        <w:jc w:val="both"/>
        <w:rPr>
          <w:rFonts w:ascii="Barlow" w:hAnsi="Barlow"/>
          <w:i/>
          <w:iCs/>
          <w:sz w:val="24"/>
        </w:rPr>
      </w:pPr>
      <w:r w:rsidRPr="00B303F3">
        <w:rPr>
          <w:rFonts w:ascii="Barlow" w:hAnsi="Barlow"/>
          <w:i/>
          <w:iCs/>
          <w:sz w:val="24"/>
        </w:rPr>
        <w:t>Više na</w:t>
      </w:r>
      <w:r w:rsidRPr="00B303F3">
        <w:rPr>
          <w:rFonts w:ascii="Barlow" w:hAnsi="Barlow"/>
          <w:sz w:val="24"/>
        </w:rPr>
        <w:t xml:space="preserve"> </w:t>
      </w:r>
      <w:hyperlink r:id="rId8" w:history="1">
        <w:r w:rsidRPr="00B303F3">
          <w:rPr>
            <w:rStyle w:val="Hiperveza"/>
            <w:rFonts w:ascii="Barlow" w:hAnsi="Barlow"/>
            <w:i/>
            <w:iCs/>
            <w:sz w:val="24"/>
          </w:rPr>
          <w:t>Promjena retorike: CGO "</w:t>
        </w:r>
        <w:proofErr w:type="spellStart"/>
        <w:r w:rsidRPr="00B303F3">
          <w:rPr>
            <w:rStyle w:val="Hiperveza"/>
            <w:rFonts w:ascii="Barlow" w:hAnsi="Barlow"/>
            <w:i/>
            <w:iCs/>
            <w:sz w:val="24"/>
          </w:rPr>
          <w:t>Lećevica</w:t>
        </w:r>
        <w:proofErr w:type="spellEnd"/>
        <w:r w:rsidRPr="00B303F3">
          <w:rPr>
            <w:rStyle w:val="Hiperveza"/>
            <w:rFonts w:ascii="Barlow" w:hAnsi="Barlow"/>
            <w:i/>
            <w:iCs/>
            <w:sz w:val="24"/>
          </w:rPr>
          <w:t xml:space="preserve">" nije rješenje! Trebaju nam </w:t>
        </w:r>
        <w:proofErr w:type="spellStart"/>
        <w:r w:rsidRPr="00B303F3">
          <w:rPr>
            <w:rStyle w:val="Hiperveza"/>
            <w:rFonts w:ascii="Barlow" w:hAnsi="Barlow"/>
            <w:i/>
            <w:iCs/>
            <w:sz w:val="24"/>
          </w:rPr>
          <w:t>kompostane</w:t>
        </w:r>
        <w:proofErr w:type="spellEnd"/>
        <w:r w:rsidRPr="00B303F3">
          <w:rPr>
            <w:rStyle w:val="Hiperveza"/>
            <w:rFonts w:ascii="Barlow" w:hAnsi="Barlow"/>
            <w:i/>
            <w:iCs/>
            <w:sz w:val="24"/>
          </w:rPr>
          <w:t>! - Sunce - Udruga za prirodu, okoliš i održivi razvoj</w:t>
        </w:r>
      </w:hyperlink>
    </w:p>
    <w:p w14:paraId="46A0DE36" w14:textId="77777777" w:rsidR="0026428C" w:rsidRPr="00B303F3" w:rsidRDefault="0026428C" w:rsidP="00B303F3">
      <w:pPr>
        <w:spacing w:line="276" w:lineRule="auto"/>
        <w:rPr>
          <w:rFonts w:ascii="Barlow" w:hAnsi="Barlow"/>
          <w:b/>
          <w:bCs/>
          <w:sz w:val="24"/>
        </w:rPr>
      </w:pPr>
      <w:r w:rsidRPr="00B303F3">
        <w:rPr>
          <w:rFonts w:ascii="Barlow" w:hAnsi="Barlow"/>
          <w:b/>
          <w:bCs/>
          <w:sz w:val="24"/>
        </w:rPr>
        <w:t>Strana 131.-135.</w:t>
      </w:r>
    </w:p>
    <w:p w14:paraId="24799A4E" w14:textId="77777777" w:rsidR="0026428C" w:rsidRPr="00B303F3" w:rsidRDefault="0026428C" w:rsidP="00B303F3">
      <w:pPr>
        <w:spacing w:line="276" w:lineRule="auto"/>
        <w:rPr>
          <w:rFonts w:ascii="Barlow" w:hAnsi="Barlow"/>
          <w:sz w:val="24"/>
        </w:rPr>
      </w:pPr>
      <w:r w:rsidRPr="00B303F3">
        <w:rPr>
          <w:rFonts w:ascii="Barlow" w:hAnsi="Barlow"/>
          <w:sz w:val="24"/>
        </w:rPr>
        <w:t xml:space="preserve">Koliko je dokument rađen bez sustavnog pristupa za potrebe SDŽ vidljivo i iz činjenice da su podaci kopirani iz PGO Zadarske županije te se Zadarska županija navodi u </w:t>
      </w:r>
      <w:proofErr w:type="spellStart"/>
      <w:r w:rsidRPr="00B303F3">
        <w:rPr>
          <w:rFonts w:ascii="Barlow" w:hAnsi="Barlow"/>
          <w:sz w:val="24"/>
        </w:rPr>
        <w:t>headreu</w:t>
      </w:r>
      <w:proofErr w:type="spellEnd"/>
      <w:r w:rsidRPr="00B303F3">
        <w:rPr>
          <w:rFonts w:ascii="Barlow" w:hAnsi="Barlow"/>
          <w:sz w:val="24"/>
        </w:rPr>
        <w:t xml:space="preserve"> dokumenta na stranici 131-136 te u tekstu na stranici 136. </w:t>
      </w:r>
    </w:p>
    <w:p w14:paraId="68217042"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Strana 135.-136 .</w:t>
      </w:r>
    </w:p>
    <w:p w14:paraId="65DC9095"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U dijelu plana </w:t>
      </w:r>
      <w:r w:rsidRPr="00B303F3">
        <w:rPr>
          <w:rFonts w:ascii="Barlow" w:hAnsi="Barlow"/>
          <w:b/>
          <w:bCs/>
          <w:sz w:val="24"/>
        </w:rPr>
        <w:t>2.3 Ocjena stanja i potreba u gospodarenju otpadom na području Splitsko - dalmatinske županije</w:t>
      </w:r>
      <w:r w:rsidRPr="00B303F3">
        <w:rPr>
          <w:rFonts w:ascii="Barlow" w:hAnsi="Barlow"/>
          <w:sz w:val="24"/>
        </w:rPr>
        <w:t xml:space="preserve"> (str. 131.) -  navodi se da se, zbog ograničenih mogućnosti i financijskih sredstava, na području Splitsko-dalmatinske županije u ovom planskom razdoblju ne razmatra implementacija novih tehnologija u gospodarenju otpadom. Takav pristup smatra se nedovoljno poticajnim i strateški upitnim, budući da razvoj i primjena novih tehnologija predstavljaju jedan od ključnih alata za postizanje ciljeva kružnog gospodarstva i učinkovitijeg sustava gospodarenja otpadom. Posebno jer  dio navedenih tehnologija ne zahtijeva nužno velika infrastrukturna ulaganja (tzv. </w:t>
      </w:r>
      <w:proofErr w:type="spellStart"/>
      <w:r w:rsidRPr="00B303F3">
        <w:rPr>
          <w:rFonts w:ascii="Barlow" w:hAnsi="Barlow"/>
          <w:sz w:val="24"/>
        </w:rPr>
        <w:t>soft</w:t>
      </w:r>
      <w:proofErr w:type="spellEnd"/>
      <w:r w:rsidRPr="00B303F3">
        <w:rPr>
          <w:rFonts w:ascii="Barlow" w:hAnsi="Barlow"/>
          <w:sz w:val="24"/>
        </w:rPr>
        <w:t xml:space="preserve"> mjere), poput digitalnih i softverskih rješenja za praćenje i optimizaciju tokova otpada, pilot-projekata robotiziranog razvrstavanja, korištenja 3D </w:t>
      </w:r>
      <w:proofErr w:type="spellStart"/>
      <w:r w:rsidRPr="00B303F3">
        <w:rPr>
          <w:rFonts w:ascii="Barlow" w:hAnsi="Barlow"/>
          <w:sz w:val="24"/>
        </w:rPr>
        <w:t>printanja</w:t>
      </w:r>
      <w:proofErr w:type="spellEnd"/>
      <w:r w:rsidRPr="00B303F3">
        <w:rPr>
          <w:rFonts w:ascii="Barlow" w:hAnsi="Barlow"/>
          <w:sz w:val="24"/>
        </w:rPr>
        <w:t xml:space="preserve"> od recikliranih materijala u obrazovnim i javnim ustanovama te drugih inovativnih rješenja koja se mogu uvoditi postupno i u manjem opsegu.</w:t>
      </w:r>
    </w:p>
    <w:p w14:paraId="59A38097" w14:textId="77777777" w:rsidR="0026428C" w:rsidRPr="00B303F3" w:rsidRDefault="0026428C" w:rsidP="00B303F3">
      <w:pPr>
        <w:spacing w:line="276" w:lineRule="auto"/>
        <w:jc w:val="both"/>
        <w:rPr>
          <w:rFonts w:ascii="Barlow" w:hAnsi="Barlow"/>
          <w:b/>
          <w:bCs/>
          <w:sz w:val="24"/>
        </w:rPr>
      </w:pPr>
      <w:r w:rsidRPr="00B303F3">
        <w:rPr>
          <w:rFonts w:ascii="Barlow" w:hAnsi="Barlow"/>
          <w:sz w:val="24"/>
        </w:rPr>
        <w:t xml:space="preserve">Nadalje, valja naglasiti da se na području Republike Hrvatske, uključujući i Splitsko-dalmatinsku županiju, već provode pojedinačne inicijative i projekti financirani sredstvima Europske unije koji uključuju primjenu naprednih tehnologija u gospodarenju otpadom, no oni su uglavnom lokalnog karaktera i usmjereni na pojedine ustanove ili jedinice lokalne samouprave. Upravo bi </w:t>
      </w:r>
      <w:r w:rsidRPr="00B303F3">
        <w:rPr>
          <w:rFonts w:ascii="Barlow" w:hAnsi="Barlow"/>
          <w:b/>
          <w:bCs/>
          <w:sz w:val="24"/>
        </w:rPr>
        <w:t xml:space="preserve">županijska razina trebala imati aktivniju ulogu u povezivanju takvih inicijativa, sufinanciranju, kao i u preuzimanju uloge partnera ili nositelja projekata, čime bi </w:t>
      </w:r>
      <w:r w:rsidRPr="00B303F3">
        <w:rPr>
          <w:rFonts w:ascii="Barlow" w:hAnsi="Barlow"/>
          <w:b/>
          <w:bCs/>
          <w:sz w:val="24"/>
        </w:rPr>
        <w:lastRenderedPageBreak/>
        <w:t>se osigurala dostupnost dodatnih izvora financiranja i sustavnije uvođenje novih tehnologija.</w:t>
      </w:r>
      <w:r w:rsidRPr="00B303F3">
        <w:rPr>
          <w:rFonts w:ascii="Barlow" w:hAnsi="Barlow"/>
          <w:sz w:val="24"/>
        </w:rPr>
        <w:t xml:space="preserve"> Slijedom navedenoga, predlaže se da Plan, umjesto potpunog isključivanja mogućnosti primjene novih tehnologija u ovom planskom razdoblju, </w:t>
      </w:r>
      <w:r w:rsidRPr="00B303F3">
        <w:rPr>
          <w:rFonts w:ascii="Barlow" w:hAnsi="Barlow"/>
          <w:b/>
          <w:bCs/>
          <w:sz w:val="24"/>
        </w:rPr>
        <w:t>predvidi barem razvoj pilot-projekata, partnerskih projekata financiranih iz EU fondova te poticanje inovativnih rješenja kao dugoročne mjere za unapređenje sustava gospodarenja otpadom u Splitsko-dalmatinskoj županiji.</w:t>
      </w:r>
    </w:p>
    <w:p w14:paraId="7089003D"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Strana 139.-140.</w:t>
      </w:r>
    </w:p>
    <w:p w14:paraId="52DB06C4" w14:textId="77777777" w:rsidR="0026428C" w:rsidRPr="00B303F3" w:rsidRDefault="0026428C" w:rsidP="00B303F3">
      <w:pPr>
        <w:spacing w:line="276" w:lineRule="auto"/>
        <w:jc w:val="both"/>
        <w:rPr>
          <w:rFonts w:ascii="Barlow" w:hAnsi="Barlow"/>
          <w:sz w:val="24"/>
        </w:rPr>
      </w:pPr>
      <w:r w:rsidRPr="00B303F3">
        <w:rPr>
          <w:rFonts w:ascii="Barlow" w:hAnsi="Barlow"/>
          <w:sz w:val="24"/>
        </w:rPr>
        <w:t>Kompletno poglavlje 2.3.2 Unaprjeđenje sustava gospodarenja otpadom na području Splitsko – dalmatinske županije u svrhu ostvarivanja ciljeva na strani 139-141 prepisano je iz PGO RH. Županija nije našla shodnim razmotriti scenarije, procijeniti što je moguće primijeniti, pronaći načine i propisati mjere na koji način će se postići ciljevi iz PGO RH, a na županijskoj razini. Pitanje je uopće svrhe donošenja ovog Plana i trošenja novaca poreznih obvezanika s obzirom da najveća većina podataka nije relevantna jer se odnosi na razdoblje prije COVID-a, dio podataka je upitne točnosti, za dio važnih podatka ne postoje mjerenja, a mjere koje su donesene doslovno su kopirane iz PGO RH.</w:t>
      </w:r>
    </w:p>
    <w:p w14:paraId="379F688B"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 xml:space="preserve">Strana 141. </w:t>
      </w:r>
    </w:p>
    <w:p w14:paraId="797A6014" w14:textId="77777777" w:rsidR="0026428C" w:rsidRPr="00B303F3" w:rsidRDefault="0026428C" w:rsidP="00B303F3">
      <w:pPr>
        <w:spacing w:line="276" w:lineRule="auto"/>
        <w:jc w:val="both"/>
        <w:rPr>
          <w:rFonts w:ascii="Barlow" w:hAnsi="Barlow"/>
          <w:i/>
          <w:iCs/>
          <w:sz w:val="24"/>
        </w:rPr>
      </w:pPr>
      <w:r w:rsidRPr="00B303F3">
        <w:rPr>
          <w:rFonts w:ascii="Barlow" w:hAnsi="Barlow"/>
          <w:sz w:val="24"/>
        </w:rPr>
        <w:t xml:space="preserve">Na strani 141 navedeno je: </w:t>
      </w:r>
      <w:r w:rsidRPr="00B303F3">
        <w:rPr>
          <w:rFonts w:ascii="Barlow" w:hAnsi="Barlow"/>
          <w:i/>
          <w:iCs/>
          <w:sz w:val="24"/>
        </w:rPr>
        <w:t>Kako je navedeno u PGO RH 2023.-2028. postojeći kapaciteti postrojenja za materijalnu oporabu stakla te postrojenja za materijalnu oporabu papira i kartona u Republici Hrvatskoj zadovoljavaju očekivane količine koje će biti potrebno reciklirati do 2028. godine, te nisu predviđena dodatna ulaganja u postrojenja za materijalnu oporabu stakla, papira i kartona.</w:t>
      </w:r>
    </w:p>
    <w:p w14:paraId="66C4D952" w14:textId="77777777" w:rsidR="0026428C" w:rsidRPr="00B303F3" w:rsidRDefault="0026428C" w:rsidP="00B303F3">
      <w:pPr>
        <w:spacing w:line="276" w:lineRule="auto"/>
        <w:jc w:val="both"/>
        <w:rPr>
          <w:rFonts w:ascii="Barlow" w:hAnsi="Barlow"/>
          <w:sz w:val="24"/>
        </w:rPr>
      </w:pPr>
      <w:r w:rsidRPr="00B303F3">
        <w:rPr>
          <w:rFonts w:ascii="Barlow" w:hAnsi="Barlow"/>
          <w:b/>
          <w:bCs/>
          <w:sz w:val="24"/>
        </w:rPr>
        <w:t>Stoga nije jasno zašto se napori ne usmjere na odvojeno prikupljanje i stakla i papira na području Županije?</w:t>
      </w:r>
      <w:r w:rsidRPr="00B303F3">
        <w:rPr>
          <w:rFonts w:ascii="Barlow" w:hAnsi="Barlow"/>
          <w:sz w:val="24"/>
        </w:rPr>
        <w:t xml:space="preserve"> Naime, prema procjenama iz </w:t>
      </w:r>
      <w:r w:rsidRPr="00B303F3">
        <w:rPr>
          <w:rFonts w:ascii="Barlow" w:hAnsi="Barlow"/>
          <w:b/>
          <w:bCs/>
          <w:sz w:val="24"/>
        </w:rPr>
        <w:t xml:space="preserve">Tablica 5.3-2. </w:t>
      </w:r>
      <w:r w:rsidRPr="00B303F3">
        <w:rPr>
          <w:rFonts w:ascii="Barlow" w:hAnsi="Barlow"/>
          <w:i/>
          <w:iCs/>
          <w:sz w:val="24"/>
        </w:rPr>
        <w:t xml:space="preserve">Sastav miješanog komunalnog otpada u RH u 2015. godini </w:t>
      </w:r>
      <w:r w:rsidRPr="00B303F3">
        <w:rPr>
          <w:rFonts w:ascii="Barlow" w:hAnsi="Barlow"/>
          <w:sz w:val="24"/>
        </w:rPr>
        <w:t xml:space="preserve">udio papira je 23.2 %, stakla  3,7 %.  S obzirom da je količina sakupljenog otpada u okviru JU (t) za 2024. godinu 187246 t za 2024. godinu (Tablica 5.2.2), najmanja ukupna količina papira je 43441 tone, a sakupljeno je sveg 7933 što je 18, 26% od ukupnog papira u Županiji. Po pitanju stakla ukupna količina je 6928 što je svega 17%. Ukoliko se kao referente vrijednosti uzmu podaci o Ukupno nastaloj količine KO (t)  (2024. 258802 t) tablice postotak je još manji i poražavajući. Stoga nije jasno zašto se PGO ne usmjeri u kvalitetnije osiguravanje odvojenog prikupljanja ovih vrsta otpada. </w:t>
      </w:r>
    </w:p>
    <w:p w14:paraId="28D21AF2"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Strana 143.-145.</w:t>
      </w:r>
    </w:p>
    <w:p w14:paraId="1F608EEE"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Kako bi se omogućio ispravan uvid u stanje zakonske obveze JLS-a vezane uz </w:t>
      </w:r>
      <w:proofErr w:type="spellStart"/>
      <w:r w:rsidRPr="00B303F3">
        <w:rPr>
          <w:rFonts w:ascii="Barlow" w:hAnsi="Barlow"/>
          <w:sz w:val="24"/>
        </w:rPr>
        <w:t>reciklažna</w:t>
      </w:r>
      <w:proofErr w:type="spellEnd"/>
      <w:r w:rsidRPr="00B303F3">
        <w:rPr>
          <w:rFonts w:ascii="Barlow" w:hAnsi="Barlow"/>
          <w:sz w:val="24"/>
        </w:rPr>
        <w:t xml:space="preserve"> dvorišta, u tablici </w:t>
      </w:r>
      <w:r w:rsidRPr="00B303F3">
        <w:rPr>
          <w:rFonts w:ascii="Barlow" w:hAnsi="Barlow"/>
          <w:b/>
          <w:bCs/>
          <w:sz w:val="24"/>
        </w:rPr>
        <w:t xml:space="preserve">  </w:t>
      </w:r>
      <w:r w:rsidRPr="00B303F3">
        <w:rPr>
          <w:rFonts w:ascii="Barlow" w:hAnsi="Barlow"/>
          <w:b/>
          <w:bCs/>
          <w:i/>
          <w:iCs/>
          <w:sz w:val="24"/>
        </w:rPr>
        <w:t>3.1.1.</w:t>
      </w:r>
      <w:r w:rsidRPr="00B303F3">
        <w:rPr>
          <w:rFonts w:ascii="Barlow" w:hAnsi="Barlow"/>
          <w:i/>
          <w:iCs/>
          <w:sz w:val="24"/>
        </w:rPr>
        <w:t xml:space="preserve">1-1. Broj </w:t>
      </w:r>
      <w:proofErr w:type="spellStart"/>
      <w:r w:rsidRPr="00B303F3">
        <w:rPr>
          <w:rFonts w:ascii="Barlow" w:hAnsi="Barlow"/>
          <w:i/>
          <w:iCs/>
          <w:sz w:val="24"/>
        </w:rPr>
        <w:t>reciklažnih</w:t>
      </w:r>
      <w:proofErr w:type="spellEnd"/>
      <w:r w:rsidRPr="00B303F3">
        <w:rPr>
          <w:rFonts w:ascii="Barlow" w:hAnsi="Barlow"/>
          <w:i/>
          <w:iCs/>
          <w:sz w:val="24"/>
        </w:rPr>
        <w:t xml:space="preserve"> i mobilnih </w:t>
      </w:r>
      <w:proofErr w:type="spellStart"/>
      <w:r w:rsidRPr="00B303F3">
        <w:rPr>
          <w:rFonts w:ascii="Barlow" w:hAnsi="Barlow"/>
          <w:i/>
          <w:iCs/>
          <w:sz w:val="24"/>
        </w:rPr>
        <w:t>reciklažnih</w:t>
      </w:r>
      <w:proofErr w:type="spellEnd"/>
      <w:r w:rsidRPr="00B303F3">
        <w:rPr>
          <w:rFonts w:ascii="Barlow" w:hAnsi="Barlow"/>
          <w:i/>
          <w:iCs/>
          <w:sz w:val="24"/>
        </w:rPr>
        <w:t xml:space="preserve"> dvorišta kojima upravlja davatelj javne usluge , zainteresirane JLS za izgradnju </w:t>
      </w:r>
      <w:proofErr w:type="spellStart"/>
      <w:r w:rsidRPr="00B303F3">
        <w:rPr>
          <w:rFonts w:ascii="Barlow" w:hAnsi="Barlow"/>
          <w:i/>
          <w:iCs/>
          <w:sz w:val="24"/>
        </w:rPr>
        <w:t>reciklažnih</w:t>
      </w:r>
      <w:proofErr w:type="spellEnd"/>
      <w:r w:rsidRPr="00B303F3">
        <w:rPr>
          <w:rFonts w:ascii="Barlow" w:hAnsi="Barlow"/>
          <w:i/>
          <w:iCs/>
          <w:sz w:val="24"/>
        </w:rPr>
        <w:t xml:space="preserve"> dvorišta i mobilnih </w:t>
      </w:r>
      <w:proofErr w:type="spellStart"/>
      <w:r w:rsidRPr="00B303F3">
        <w:rPr>
          <w:rFonts w:ascii="Barlow" w:hAnsi="Barlow"/>
          <w:i/>
          <w:iCs/>
          <w:sz w:val="24"/>
        </w:rPr>
        <w:t>reciklažnih</w:t>
      </w:r>
      <w:proofErr w:type="spellEnd"/>
      <w:r w:rsidRPr="00B303F3">
        <w:rPr>
          <w:rFonts w:ascii="Barlow" w:hAnsi="Barlow"/>
          <w:i/>
          <w:iCs/>
          <w:sz w:val="24"/>
        </w:rPr>
        <w:t xml:space="preserve"> dvorišta i vrsta i broj </w:t>
      </w:r>
      <w:proofErr w:type="spellStart"/>
      <w:r w:rsidRPr="00B303F3">
        <w:rPr>
          <w:rFonts w:ascii="Barlow" w:hAnsi="Barlow"/>
          <w:i/>
          <w:iCs/>
          <w:sz w:val="24"/>
        </w:rPr>
        <w:t>reciklažnih</w:t>
      </w:r>
      <w:proofErr w:type="spellEnd"/>
      <w:r w:rsidRPr="00B303F3">
        <w:rPr>
          <w:rFonts w:ascii="Barlow" w:hAnsi="Barlow"/>
          <w:i/>
          <w:iCs/>
          <w:sz w:val="24"/>
        </w:rPr>
        <w:t xml:space="preserve"> dvorišta i mobilnih </w:t>
      </w:r>
      <w:proofErr w:type="spellStart"/>
      <w:r w:rsidRPr="00B303F3">
        <w:rPr>
          <w:rFonts w:ascii="Barlow" w:hAnsi="Barlow"/>
          <w:i/>
          <w:iCs/>
          <w:sz w:val="24"/>
        </w:rPr>
        <w:t>reciklažnih</w:t>
      </w:r>
      <w:proofErr w:type="spellEnd"/>
      <w:r w:rsidRPr="00B303F3">
        <w:rPr>
          <w:rFonts w:ascii="Barlow" w:hAnsi="Barlow"/>
          <w:i/>
          <w:iCs/>
          <w:sz w:val="24"/>
        </w:rPr>
        <w:t xml:space="preserve"> dvorišta za koje su JLS zainteresirane za razdoblje od 2024. do 2029. godine na području JLS Splitsko-dalmatinske županije</w:t>
      </w:r>
      <w:r w:rsidRPr="00B303F3">
        <w:rPr>
          <w:rFonts w:ascii="Barlow" w:hAnsi="Barlow"/>
          <w:sz w:val="24"/>
        </w:rPr>
        <w:t xml:space="preserve">  na strani 145</w:t>
      </w:r>
      <w:r w:rsidRPr="00B303F3">
        <w:rPr>
          <w:rFonts w:ascii="Barlow" w:hAnsi="Barlow"/>
          <w:b/>
          <w:bCs/>
          <w:sz w:val="24"/>
        </w:rPr>
        <w:t xml:space="preserve">. potrebno je uz kolonu </w:t>
      </w:r>
      <w:r w:rsidRPr="00B303F3">
        <w:rPr>
          <w:rFonts w:ascii="Barlow" w:hAnsi="Barlow"/>
          <w:sz w:val="24"/>
        </w:rPr>
        <w:t xml:space="preserve">zainteresirani JLS za nova za </w:t>
      </w:r>
      <w:proofErr w:type="spellStart"/>
      <w:r w:rsidRPr="00B303F3">
        <w:rPr>
          <w:rFonts w:ascii="Barlow" w:hAnsi="Barlow"/>
          <w:sz w:val="24"/>
        </w:rPr>
        <w:t>reciklažna</w:t>
      </w:r>
      <w:proofErr w:type="spellEnd"/>
      <w:r w:rsidRPr="00B303F3">
        <w:rPr>
          <w:rFonts w:ascii="Barlow" w:hAnsi="Barlow"/>
          <w:sz w:val="24"/>
        </w:rPr>
        <w:t xml:space="preserve"> dvorišta </w:t>
      </w:r>
      <w:r w:rsidRPr="00B303F3">
        <w:rPr>
          <w:rFonts w:ascii="Barlow" w:hAnsi="Barlow"/>
          <w:sz w:val="24"/>
        </w:rPr>
        <w:lastRenderedPageBreak/>
        <w:t xml:space="preserve">ili mobilna </w:t>
      </w:r>
      <w:proofErr w:type="spellStart"/>
      <w:r w:rsidRPr="00B303F3">
        <w:rPr>
          <w:rFonts w:ascii="Barlow" w:hAnsi="Barlow"/>
          <w:sz w:val="24"/>
        </w:rPr>
        <w:t>reciklažna</w:t>
      </w:r>
      <w:proofErr w:type="spellEnd"/>
      <w:r w:rsidRPr="00B303F3">
        <w:rPr>
          <w:rFonts w:ascii="Barlow" w:hAnsi="Barlow"/>
          <w:sz w:val="24"/>
        </w:rPr>
        <w:t xml:space="preserve">, dodati  i kolonu koje su sve JLS ispunile  zakonske obveze vezane uz </w:t>
      </w:r>
      <w:proofErr w:type="spellStart"/>
      <w:r w:rsidRPr="00B303F3">
        <w:rPr>
          <w:rFonts w:ascii="Barlow" w:hAnsi="Barlow"/>
          <w:sz w:val="24"/>
        </w:rPr>
        <w:t>reciklažna</w:t>
      </w:r>
      <w:proofErr w:type="spellEnd"/>
      <w:r w:rsidRPr="00B303F3">
        <w:rPr>
          <w:rFonts w:ascii="Barlow" w:hAnsi="Barlow"/>
          <w:sz w:val="24"/>
        </w:rPr>
        <w:t xml:space="preserve"> dvorišta, a koje su navedene na strani 143. Naime, Zakon o gospodarenju otpadom prepisuje prekršajne odredbe na neispunjavanje obveza iz zakona pa tako i uspostave </w:t>
      </w:r>
      <w:proofErr w:type="spellStart"/>
      <w:r w:rsidRPr="00B303F3">
        <w:rPr>
          <w:rFonts w:ascii="Barlow" w:hAnsi="Barlow"/>
          <w:sz w:val="24"/>
        </w:rPr>
        <w:t>reciklažnih</w:t>
      </w:r>
      <w:proofErr w:type="spellEnd"/>
      <w:r w:rsidRPr="00B303F3">
        <w:rPr>
          <w:rFonts w:ascii="Barlow" w:hAnsi="Barlow"/>
          <w:sz w:val="24"/>
        </w:rPr>
        <w:t xml:space="preserve"> dvorišta. Kazne su predviđene iza JLS kao i odgovorne osobe. </w:t>
      </w:r>
      <w:r w:rsidRPr="00B303F3">
        <w:rPr>
          <w:rFonts w:ascii="Barlow" w:hAnsi="Barlow"/>
          <w:b/>
          <w:bCs/>
          <w:sz w:val="24"/>
        </w:rPr>
        <w:t xml:space="preserve">Nadalje, PGO SDŽ treba donijeti i informacije o učinkovitosti upravljanja mobilnim </w:t>
      </w:r>
      <w:proofErr w:type="spellStart"/>
      <w:r w:rsidRPr="00B303F3">
        <w:rPr>
          <w:rFonts w:ascii="Barlow" w:hAnsi="Barlow"/>
          <w:b/>
          <w:bCs/>
          <w:sz w:val="24"/>
        </w:rPr>
        <w:t>reciklažnih</w:t>
      </w:r>
      <w:proofErr w:type="spellEnd"/>
      <w:r w:rsidRPr="00B303F3">
        <w:rPr>
          <w:rFonts w:ascii="Barlow" w:hAnsi="Barlow"/>
          <w:b/>
          <w:bCs/>
          <w:sz w:val="24"/>
        </w:rPr>
        <w:t xml:space="preserve"> dvorištima te odvojenog prikupljanja putem istih od strane komunalnih poduzeća. </w:t>
      </w:r>
      <w:r w:rsidRPr="00B303F3">
        <w:rPr>
          <w:rFonts w:ascii="Barlow" w:hAnsi="Barlow"/>
          <w:sz w:val="24"/>
        </w:rPr>
        <w:t xml:space="preserve">Naime, iskustva iz Splita ukazuje na ne učinkovito upravljanje od strane komunalnog poduzeća Čistoća d.o.o. Split. Na Zeleni telefon česte  su prijave građana o prepunjenim spremnicima te razbacanom otpadu (osobito tekstil) oko mobilnih stanica. Upitno je  kako se mobilnim </w:t>
      </w:r>
      <w:proofErr w:type="spellStart"/>
      <w:r w:rsidRPr="00B303F3">
        <w:rPr>
          <w:rFonts w:ascii="Barlow" w:hAnsi="Barlow"/>
          <w:sz w:val="24"/>
        </w:rPr>
        <w:t>reciklažnim</w:t>
      </w:r>
      <w:proofErr w:type="spellEnd"/>
      <w:r w:rsidRPr="00B303F3">
        <w:rPr>
          <w:rFonts w:ascii="Barlow" w:hAnsi="Barlow"/>
          <w:sz w:val="24"/>
        </w:rPr>
        <w:t xml:space="preserve"> dvorištima upravlja u drugim JLS-ima.</w:t>
      </w:r>
    </w:p>
    <w:p w14:paraId="56581235" w14:textId="6F577D66" w:rsidR="0026428C" w:rsidRPr="00C5700E" w:rsidRDefault="0026428C" w:rsidP="00B303F3">
      <w:pPr>
        <w:spacing w:line="276" w:lineRule="auto"/>
        <w:jc w:val="both"/>
        <w:rPr>
          <w:rFonts w:ascii="Barlow" w:hAnsi="Barlow"/>
          <w:b/>
          <w:bCs/>
          <w:sz w:val="24"/>
        </w:rPr>
      </w:pPr>
      <w:r w:rsidRPr="00C5700E">
        <w:rPr>
          <w:rFonts w:ascii="Barlow" w:hAnsi="Barlow"/>
          <w:b/>
          <w:bCs/>
          <w:sz w:val="24"/>
        </w:rPr>
        <w:t>Strana 157</w:t>
      </w:r>
      <w:r w:rsidR="00C5700E" w:rsidRPr="00C5700E">
        <w:rPr>
          <w:rFonts w:ascii="Barlow" w:hAnsi="Barlow"/>
          <w:b/>
          <w:bCs/>
          <w:sz w:val="24"/>
        </w:rPr>
        <w:t>.</w:t>
      </w:r>
      <w:r w:rsidRPr="00C5700E">
        <w:rPr>
          <w:rFonts w:ascii="Barlow" w:hAnsi="Barlow"/>
          <w:b/>
          <w:bCs/>
          <w:sz w:val="24"/>
        </w:rPr>
        <w:t>- 159</w:t>
      </w:r>
      <w:r w:rsidR="00C5700E" w:rsidRPr="00C5700E">
        <w:rPr>
          <w:rFonts w:ascii="Barlow" w:hAnsi="Barlow"/>
          <w:b/>
          <w:bCs/>
          <w:sz w:val="24"/>
        </w:rPr>
        <w:t>.</w:t>
      </w:r>
    </w:p>
    <w:p w14:paraId="0BBF5B9D" w14:textId="77777777" w:rsidR="0026428C" w:rsidRPr="00B303F3" w:rsidRDefault="0026428C" w:rsidP="00B303F3">
      <w:pPr>
        <w:spacing w:line="276" w:lineRule="auto"/>
        <w:jc w:val="both"/>
        <w:rPr>
          <w:rFonts w:ascii="Barlow" w:hAnsi="Barlow"/>
          <w:sz w:val="24"/>
        </w:rPr>
      </w:pPr>
      <w:r w:rsidRPr="00B303F3">
        <w:rPr>
          <w:rFonts w:ascii="Barlow" w:hAnsi="Barlow"/>
          <w:sz w:val="24"/>
        </w:rPr>
        <w:t>3.1.1.2 Građevine za biološku obradu otpada i 3.1.1.2.2 Bioplinska postrojenja</w:t>
      </w:r>
    </w:p>
    <w:p w14:paraId="472A6024"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Nakon što je navedeno kako u SDŽ nema niti jedna </w:t>
      </w:r>
      <w:proofErr w:type="spellStart"/>
      <w:r w:rsidRPr="00B303F3">
        <w:rPr>
          <w:rFonts w:ascii="Barlow" w:hAnsi="Barlow"/>
          <w:sz w:val="24"/>
        </w:rPr>
        <w:t>kompostana</w:t>
      </w:r>
      <w:proofErr w:type="spellEnd"/>
      <w:r w:rsidRPr="00B303F3">
        <w:rPr>
          <w:rFonts w:ascii="Barlow" w:hAnsi="Barlow"/>
          <w:sz w:val="24"/>
        </w:rPr>
        <w:t xml:space="preserve">, u tablici je za općinu Prgomet navedeno kako ima jednu </w:t>
      </w:r>
      <w:proofErr w:type="spellStart"/>
      <w:r w:rsidRPr="00B303F3">
        <w:rPr>
          <w:rFonts w:ascii="Barlow" w:hAnsi="Barlow"/>
          <w:sz w:val="24"/>
        </w:rPr>
        <w:t>kompostanu</w:t>
      </w:r>
      <w:proofErr w:type="spellEnd"/>
      <w:r w:rsidRPr="00B303F3">
        <w:rPr>
          <w:rFonts w:ascii="Barlow" w:hAnsi="Barlow"/>
          <w:sz w:val="24"/>
        </w:rPr>
        <w:t xml:space="preserve">? Molimo objašnjenje. Nadalje, u dokumentu treba biti vidljivo da se sustavno promišlja o gospodarenju biootpadom u SDŽ te </w:t>
      </w:r>
      <w:r w:rsidRPr="00B303F3">
        <w:rPr>
          <w:rFonts w:ascii="Barlow" w:hAnsi="Barlow"/>
          <w:b/>
          <w:bCs/>
          <w:sz w:val="24"/>
        </w:rPr>
        <w:t xml:space="preserve">sukladno tomu predvidjeti obvezu izgradnje </w:t>
      </w:r>
      <w:proofErr w:type="spellStart"/>
      <w:r w:rsidRPr="00B303F3">
        <w:rPr>
          <w:rFonts w:ascii="Barlow" w:hAnsi="Barlow"/>
          <w:b/>
          <w:bCs/>
          <w:sz w:val="24"/>
        </w:rPr>
        <w:t>kompostane</w:t>
      </w:r>
      <w:proofErr w:type="spellEnd"/>
      <w:r w:rsidRPr="00B303F3">
        <w:rPr>
          <w:rFonts w:ascii="Barlow" w:hAnsi="Barlow"/>
          <w:b/>
          <w:bCs/>
          <w:sz w:val="24"/>
        </w:rPr>
        <w:t xml:space="preserve"> na svakom od otoka u Splitsko-dalmatinskoj županiji te zajedničkih </w:t>
      </w:r>
      <w:proofErr w:type="spellStart"/>
      <w:r w:rsidRPr="00B303F3">
        <w:rPr>
          <w:rFonts w:ascii="Barlow" w:hAnsi="Barlow"/>
          <w:b/>
          <w:bCs/>
          <w:sz w:val="24"/>
        </w:rPr>
        <w:t>kompostana</w:t>
      </w:r>
      <w:proofErr w:type="spellEnd"/>
      <w:r w:rsidRPr="00B303F3">
        <w:rPr>
          <w:rFonts w:ascii="Barlow" w:hAnsi="Barlow"/>
          <w:b/>
          <w:bCs/>
          <w:sz w:val="24"/>
        </w:rPr>
        <w:t xml:space="preserve"> za općine /gradove prema područjima na kopnu,. Uzimajući u obzir količine nastalog biootpada treba </w:t>
      </w:r>
      <w:proofErr w:type="spellStart"/>
      <w:r w:rsidRPr="00B303F3">
        <w:rPr>
          <w:rFonts w:ascii="Barlow" w:hAnsi="Barlow"/>
          <w:b/>
          <w:bCs/>
          <w:sz w:val="24"/>
        </w:rPr>
        <w:t>predvdjeti</w:t>
      </w:r>
      <w:proofErr w:type="spellEnd"/>
      <w:r w:rsidRPr="00B303F3">
        <w:rPr>
          <w:rFonts w:ascii="Barlow" w:hAnsi="Barlow"/>
          <w:b/>
          <w:bCs/>
          <w:sz w:val="24"/>
        </w:rPr>
        <w:t xml:space="preserve"> </w:t>
      </w:r>
      <w:proofErr w:type="spellStart"/>
      <w:r w:rsidRPr="00B303F3">
        <w:rPr>
          <w:rFonts w:ascii="Barlow" w:hAnsi="Barlow"/>
          <w:b/>
          <w:bCs/>
          <w:sz w:val="24"/>
        </w:rPr>
        <w:t>kapaciette</w:t>
      </w:r>
      <w:proofErr w:type="spellEnd"/>
      <w:r w:rsidRPr="00B303F3">
        <w:rPr>
          <w:rFonts w:ascii="Barlow" w:hAnsi="Barlow"/>
          <w:b/>
          <w:bCs/>
          <w:sz w:val="24"/>
        </w:rPr>
        <w:t xml:space="preserve"> </w:t>
      </w:r>
      <w:proofErr w:type="spellStart"/>
      <w:r w:rsidRPr="00B303F3">
        <w:rPr>
          <w:rFonts w:ascii="Barlow" w:hAnsi="Barlow"/>
          <w:b/>
          <w:bCs/>
          <w:sz w:val="24"/>
        </w:rPr>
        <w:t>kompostana</w:t>
      </w:r>
      <w:proofErr w:type="spellEnd"/>
      <w:r w:rsidRPr="00B303F3">
        <w:rPr>
          <w:rFonts w:ascii="Barlow" w:hAnsi="Barlow"/>
          <w:b/>
          <w:bCs/>
          <w:sz w:val="24"/>
        </w:rPr>
        <w:t>. Tek onda potrebno je uspoređivati podatke</w:t>
      </w:r>
      <w:r w:rsidRPr="00B303F3">
        <w:rPr>
          <w:rFonts w:ascii="Barlow" w:hAnsi="Barlow"/>
          <w:sz w:val="24"/>
        </w:rPr>
        <w:t xml:space="preserve"> s interesom pojedinih općina/gradova. Naime, neprihvatljivo je da građane Županije, solidarno snose troškove odvoza otpada sa udaljenih otoka u CGO </w:t>
      </w:r>
      <w:proofErr w:type="spellStart"/>
      <w:r w:rsidRPr="00B303F3">
        <w:rPr>
          <w:rFonts w:ascii="Barlow" w:hAnsi="Barlow"/>
          <w:sz w:val="24"/>
        </w:rPr>
        <w:t>Lećevica</w:t>
      </w:r>
      <w:proofErr w:type="spellEnd"/>
      <w:r w:rsidRPr="00B303F3">
        <w:rPr>
          <w:rFonts w:ascii="Barlow" w:hAnsi="Barlow"/>
          <w:sz w:val="24"/>
        </w:rPr>
        <w:t xml:space="preserve">. Naime, ovi su troškovi višestruko skuplji nego kada se radi o troškovima prijevoza otpada s kopna. Ne prihvatljivo je da lokalne uprave tih istih otoka ne poduzimaju nikakve korake kako bi smanjile količine otpada koje stvaraju te samim tim kompostiranjem na otocima umanjile troškove. Pritom, nije potrebno puno promišljanja već samo slijediti primjere i iskustva dobre prakse u Hrvatskoj kao što je to </w:t>
      </w:r>
      <w:hyperlink r:id="rId9" w:history="1">
        <w:r w:rsidRPr="00B303F3">
          <w:rPr>
            <w:rStyle w:val="Hiperveza"/>
            <w:rFonts w:ascii="Barlow" w:hAnsi="Barlow"/>
            <w:sz w:val="24"/>
          </w:rPr>
          <w:t>otok Krk</w:t>
        </w:r>
      </w:hyperlink>
      <w:r w:rsidRPr="00B303F3">
        <w:rPr>
          <w:rFonts w:ascii="Barlow" w:hAnsi="Barlow"/>
          <w:sz w:val="24"/>
        </w:rPr>
        <w:t xml:space="preserve">. Planirani kapaciteti </w:t>
      </w:r>
      <w:r w:rsidRPr="00B303F3">
        <w:rPr>
          <w:rFonts w:ascii="Barlow" w:hAnsi="Barlow"/>
          <w:i/>
          <w:iCs/>
          <w:sz w:val="24"/>
        </w:rPr>
        <w:t xml:space="preserve">postrojenje za kompostiranje odvojeno prikupljenog biootpada (kuhinjskog i vrtnog otpada) u CGO </w:t>
      </w:r>
      <w:proofErr w:type="spellStart"/>
      <w:r w:rsidRPr="00B303F3">
        <w:rPr>
          <w:rFonts w:ascii="Barlow" w:hAnsi="Barlow"/>
          <w:i/>
          <w:iCs/>
          <w:sz w:val="24"/>
        </w:rPr>
        <w:t>Lećevica</w:t>
      </w:r>
      <w:proofErr w:type="spellEnd"/>
      <w:r w:rsidRPr="00B303F3">
        <w:rPr>
          <w:rFonts w:ascii="Barlow" w:hAnsi="Barlow"/>
          <w:i/>
          <w:iCs/>
          <w:sz w:val="24"/>
        </w:rPr>
        <w:t xml:space="preserve"> su 9.700 t/g</w:t>
      </w:r>
      <w:r w:rsidRPr="00B303F3">
        <w:rPr>
          <w:rFonts w:ascii="Barlow" w:hAnsi="Barlow"/>
          <w:sz w:val="24"/>
        </w:rPr>
        <w:t xml:space="preserve"> – navedeni kapaciteti </w:t>
      </w:r>
      <w:proofErr w:type="spellStart"/>
      <w:r w:rsidRPr="00B303F3">
        <w:rPr>
          <w:rFonts w:ascii="Barlow" w:hAnsi="Barlow"/>
          <w:sz w:val="24"/>
        </w:rPr>
        <w:t>kompostane</w:t>
      </w:r>
      <w:proofErr w:type="spellEnd"/>
      <w:r w:rsidRPr="00B303F3">
        <w:rPr>
          <w:rFonts w:ascii="Barlow" w:hAnsi="Barlow"/>
          <w:sz w:val="24"/>
        </w:rPr>
        <w:t xml:space="preserve"> nisu ni približno dostatni za sav biootpad koji se akumulira u Županiji jer, prema procjenama, samo u gradu Splitu se godišnje proizvede 20 000 tona biootpada. Uzme li se u obzir i postrojenje za proizvodnju energije iz obnovljivih izvora energije (bioplinsko postrojenje kapaciteta obrade do 12.900 u izgradnji na </w:t>
      </w:r>
      <w:proofErr w:type="spellStart"/>
      <w:r w:rsidRPr="00B303F3">
        <w:rPr>
          <w:rFonts w:ascii="Barlow" w:hAnsi="Barlow"/>
          <w:sz w:val="24"/>
        </w:rPr>
        <w:t>Čaporice</w:t>
      </w:r>
      <w:proofErr w:type="spellEnd"/>
      <w:r w:rsidRPr="00B303F3">
        <w:rPr>
          <w:rFonts w:ascii="Barlow" w:hAnsi="Barlow"/>
          <w:sz w:val="24"/>
        </w:rPr>
        <w:t xml:space="preserve"> (</w:t>
      </w:r>
      <w:proofErr w:type="spellStart"/>
      <w:r w:rsidRPr="00B303F3">
        <w:rPr>
          <w:rFonts w:ascii="Barlow" w:hAnsi="Barlow"/>
          <w:sz w:val="24"/>
        </w:rPr>
        <w:t>Čaporice</w:t>
      </w:r>
      <w:proofErr w:type="spellEnd"/>
      <w:r w:rsidRPr="00B303F3">
        <w:rPr>
          <w:rFonts w:ascii="Barlow" w:hAnsi="Barlow"/>
          <w:sz w:val="24"/>
        </w:rPr>
        <w:t xml:space="preserve">, Gospodarska zona </w:t>
      </w:r>
      <w:proofErr w:type="spellStart"/>
      <w:r w:rsidRPr="00B303F3">
        <w:rPr>
          <w:rFonts w:ascii="Barlow" w:hAnsi="Barlow"/>
          <w:sz w:val="24"/>
        </w:rPr>
        <w:t>Čaporice</w:t>
      </w:r>
      <w:proofErr w:type="spellEnd"/>
      <w:r w:rsidRPr="00B303F3">
        <w:rPr>
          <w:rFonts w:ascii="Barlow" w:hAnsi="Barlow"/>
          <w:sz w:val="24"/>
        </w:rPr>
        <w:t xml:space="preserve"> zapad, Grad Trilj)  i dalje kapaciteti nisu dostatni. </w:t>
      </w:r>
    </w:p>
    <w:p w14:paraId="6D1BE6B5" w14:textId="463A055E" w:rsidR="0026428C" w:rsidRPr="00B303F3" w:rsidRDefault="0026428C" w:rsidP="00B303F3">
      <w:pPr>
        <w:spacing w:line="276" w:lineRule="auto"/>
        <w:jc w:val="both"/>
        <w:rPr>
          <w:rFonts w:ascii="Barlow" w:hAnsi="Barlow"/>
          <w:b/>
          <w:bCs/>
          <w:sz w:val="24"/>
        </w:rPr>
      </w:pPr>
      <w:r w:rsidRPr="00B303F3">
        <w:rPr>
          <w:rFonts w:ascii="Barlow" w:hAnsi="Barlow"/>
          <w:sz w:val="24"/>
        </w:rPr>
        <w:t>Nužno je osigurati sustavno i učinkovito zbrinjavanje biootpada u skladu s ciljevima kružnog gospodarstva, kako bi se smanjila količina biootpada koji završava na odlagalištima. Međutim, u Splitsko- dalmatinskoj županiji </w:t>
      </w:r>
      <w:r w:rsidRPr="00B303F3">
        <w:rPr>
          <w:rFonts w:ascii="Barlow" w:hAnsi="Barlow"/>
          <w:b/>
          <w:bCs/>
          <w:sz w:val="24"/>
        </w:rPr>
        <w:t>unatoč planovima</w:t>
      </w:r>
      <w:r w:rsidRPr="00B303F3">
        <w:rPr>
          <w:rFonts w:ascii="Barlow" w:hAnsi="Barlow"/>
          <w:sz w:val="24"/>
        </w:rPr>
        <w:t xml:space="preserve"> za izradu </w:t>
      </w:r>
      <w:proofErr w:type="spellStart"/>
      <w:r w:rsidRPr="00B303F3">
        <w:rPr>
          <w:rFonts w:ascii="Barlow" w:hAnsi="Barlow"/>
          <w:sz w:val="24"/>
        </w:rPr>
        <w:t>kompostana</w:t>
      </w:r>
      <w:proofErr w:type="spellEnd"/>
      <w:r w:rsidRPr="00B303F3">
        <w:rPr>
          <w:rFonts w:ascii="Barlow" w:hAnsi="Barlow"/>
          <w:sz w:val="24"/>
        </w:rPr>
        <w:t xml:space="preserve"> još iz prethodnih desetljeća, </w:t>
      </w:r>
      <w:r w:rsidRPr="00B303F3">
        <w:rPr>
          <w:rFonts w:ascii="Barlow" w:hAnsi="Barlow"/>
          <w:b/>
          <w:bCs/>
          <w:sz w:val="24"/>
        </w:rPr>
        <w:t>dostupnim fondovima EU</w:t>
      </w:r>
      <w:r w:rsidRPr="00B303F3">
        <w:rPr>
          <w:rFonts w:ascii="Barlow" w:hAnsi="Barlow"/>
          <w:sz w:val="24"/>
        </w:rPr>
        <w:t>-a te važnosti ovog ekološki najprihvatljivijeg načina postupanja s biootpadom </w:t>
      </w:r>
      <w:r w:rsidRPr="00B303F3">
        <w:rPr>
          <w:rFonts w:ascii="Barlow" w:hAnsi="Barlow"/>
          <w:b/>
          <w:bCs/>
          <w:sz w:val="24"/>
        </w:rPr>
        <w:t xml:space="preserve">ne postoji niti jedna </w:t>
      </w:r>
      <w:proofErr w:type="spellStart"/>
      <w:r w:rsidRPr="00B303F3">
        <w:rPr>
          <w:rFonts w:ascii="Barlow" w:hAnsi="Barlow"/>
          <w:b/>
          <w:bCs/>
          <w:sz w:val="24"/>
        </w:rPr>
        <w:t>kompostana</w:t>
      </w:r>
      <w:proofErr w:type="spellEnd"/>
      <w:r w:rsidRPr="00B303F3">
        <w:rPr>
          <w:rFonts w:ascii="Barlow" w:hAnsi="Barlow"/>
          <w:b/>
          <w:bCs/>
          <w:sz w:val="24"/>
        </w:rPr>
        <w:t>, čak niti na otocima. Novi Plan ne daje nikakve smjernice i mjere kako bi se ovo stanje promijenilo.</w:t>
      </w:r>
    </w:p>
    <w:p w14:paraId="626EA064" w14:textId="77777777" w:rsidR="0026428C" w:rsidRPr="00C5700E" w:rsidRDefault="0026428C" w:rsidP="00B303F3">
      <w:pPr>
        <w:spacing w:line="276" w:lineRule="auto"/>
        <w:jc w:val="both"/>
        <w:rPr>
          <w:rFonts w:ascii="Barlow" w:hAnsi="Barlow"/>
          <w:b/>
          <w:bCs/>
          <w:sz w:val="24"/>
        </w:rPr>
      </w:pPr>
      <w:r w:rsidRPr="00C5700E">
        <w:rPr>
          <w:rFonts w:ascii="Barlow" w:hAnsi="Barlow"/>
          <w:b/>
          <w:bCs/>
          <w:sz w:val="24"/>
        </w:rPr>
        <w:t>Strana 160.</w:t>
      </w:r>
    </w:p>
    <w:p w14:paraId="490C193C" w14:textId="77777777" w:rsidR="0026428C" w:rsidRPr="00B303F3" w:rsidRDefault="0026428C" w:rsidP="00B303F3">
      <w:pPr>
        <w:spacing w:line="276" w:lineRule="auto"/>
        <w:jc w:val="both"/>
        <w:rPr>
          <w:rFonts w:ascii="Barlow" w:hAnsi="Barlow"/>
          <w:sz w:val="24"/>
        </w:rPr>
      </w:pPr>
      <w:r w:rsidRPr="00B303F3">
        <w:rPr>
          <w:rFonts w:ascii="Barlow" w:hAnsi="Barlow"/>
          <w:sz w:val="24"/>
        </w:rPr>
        <w:lastRenderedPageBreak/>
        <w:t>3.1.1.3 Ostale građevine za materijalnu oporabu otpada</w:t>
      </w:r>
    </w:p>
    <w:p w14:paraId="7030E4C4"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Kao i  kod </w:t>
      </w:r>
      <w:proofErr w:type="spellStart"/>
      <w:r w:rsidRPr="00B303F3">
        <w:rPr>
          <w:rFonts w:ascii="Barlow" w:hAnsi="Barlow"/>
          <w:sz w:val="24"/>
        </w:rPr>
        <w:t>kompostana</w:t>
      </w:r>
      <w:proofErr w:type="spellEnd"/>
      <w:r w:rsidRPr="00B303F3">
        <w:rPr>
          <w:rFonts w:ascii="Barlow" w:hAnsi="Barlow"/>
          <w:sz w:val="24"/>
        </w:rPr>
        <w:t xml:space="preserve"> neprihvatljivo je da se potrebe za </w:t>
      </w:r>
      <w:proofErr w:type="spellStart"/>
      <w:r w:rsidRPr="00B303F3">
        <w:rPr>
          <w:rFonts w:ascii="Barlow" w:hAnsi="Barlow"/>
          <w:sz w:val="24"/>
        </w:rPr>
        <w:t>sortirnicama</w:t>
      </w:r>
      <w:proofErr w:type="spellEnd"/>
      <w:r w:rsidRPr="00B303F3">
        <w:rPr>
          <w:rFonts w:ascii="Barlow" w:hAnsi="Barlow"/>
          <w:sz w:val="24"/>
        </w:rPr>
        <w:t xml:space="preserve"> utvrđuju prema iskazanom interesu JLS-a, a da pritom nisu napravljeni izračuni o stvarnim potrebama s obzirom na tokove otpada i lokacije JLS-a.  </w:t>
      </w:r>
      <w:r w:rsidRPr="00B303F3">
        <w:rPr>
          <w:rFonts w:ascii="Barlow" w:hAnsi="Barlow"/>
          <w:b/>
          <w:bCs/>
          <w:sz w:val="24"/>
        </w:rPr>
        <w:t xml:space="preserve">Pritom su u Županji potrebni kapaciteti 108.726 odnosno 98.685 tona /godišnje ovisno o scenariju navedenom u PGO RH, a postojeće </w:t>
      </w:r>
      <w:proofErr w:type="spellStart"/>
      <w:r w:rsidRPr="00B303F3">
        <w:rPr>
          <w:rFonts w:ascii="Barlow" w:hAnsi="Barlow"/>
          <w:b/>
          <w:bCs/>
          <w:sz w:val="24"/>
        </w:rPr>
        <w:t>sortirnice</w:t>
      </w:r>
      <w:proofErr w:type="spellEnd"/>
      <w:r w:rsidRPr="00B303F3">
        <w:rPr>
          <w:rFonts w:ascii="Barlow" w:hAnsi="Barlow"/>
          <w:b/>
          <w:bCs/>
          <w:sz w:val="24"/>
        </w:rPr>
        <w:t xml:space="preserve"> SDŽ imaju kapacitet od  200 tona godišnje!</w:t>
      </w:r>
      <w:r w:rsidRPr="00B303F3">
        <w:rPr>
          <w:rFonts w:ascii="Barlow" w:hAnsi="Barlow"/>
          <w:sz w:val="24"/>
        </w:rPr>
        <w:t xml:space="preserve"> Također, iz iznesenih podataka u tekstu te u tablici Tablica 3.1.1.3-2. nije niti jasno koliko su zapravo kapaciteti postojećih </w:t>
      </w:r>
      <w:proofErr w:type="spellStart"/>
      <w:r w:rsidRPr="00B303F3">
        <w:rPr>
          <w:rFonts w:ascii="Barlow" w:hAnsi="Barlow"/>
          <w:sz w:val="24"/>
        </w:rPr>
        <w:t>sortinirnica</w:t>
      </w:r>
      <w:proofErr w:type="spellEnd"/>
      <w:r w:rsidRPr="00B303F3">
        <w:rPr>
          <w:rFonts w:ascii="Barlow" w:hAnsi="Barlow"/>
          <w:sz w:val="24"/>
        </w:rPr>
        <w:t xml:space="preserve">, te molimo izrađivača Plana pojašnjenje. </w:t>
      </w:r>
    </w:p>
    <w:p w14:paraId="1EC52878" w14:textId="77777777" w:rsidR="0026428C" w:rsidRPr="00C5700E" w:rsidRDefault="0026428C" w:rsidP="00B303F3">
      <w:pPr>
        <w:spacing w:line="276" w:lineRule="auto"/>
        <w:jc w:val="both"/>
        <w:rPr>
          <w:rFonts w:ascii="Barlow" w:hAnsi="Barlow"/>
          <w:b/>
          <w:bCs/>
          <w:sz w:val="24"/>
        </w:rPr>
      </w:pPr>
      <w:r w:rsidRPr="00C5700E">
        <w:rPr>
          <w:rFonts w:ascii="Barlow" w:hAnsi="Barlow"/>
          <w:b/>
          <w:bCs/>
          <w:sz w:val="24"/>
        </w:rPr>
        <w:t>Strana 168.</w:t>
      </w:r>
    </w:p>
    <w:p w14:paraId="0CAE416A"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U tablici na stranici 168. navedeno je kako će postrojenje za recikliranje plastike biti u sklopu CGO </w:t>
      </w:r>
      <w:proofErr w:type="spellStart"/>
      <w:r w:rsidRPr="00B303F3">
        <w:rPr>
          <w:rFonts w:ascii="Barlow" w:hAnsi="Barlow"/>
          <w:sz w:val="24"/>
        </w:rPr>
        <w:t>Lećevica</w:t>
      </w:r>
      <w:proofErr w:type="spellEnd"/>
      <w:r w:rsidRPr="00B303F3">
        <w:rPr>
          <w:rFonts w:ascii="Barlow" w:hAnsi="Barlow"/>
          <w:sz w:val="24"/>
        </w:rPr>
        <w:t xml:space="preserve">. Istakli bi kako je u sklopu postrojenja planirana </w:t>
      </w:r>
      <w:proofErr w:type="spellStart"/>
      <w:r w:rsidRPr="00B303F3">
        <w:rPr>
          <w:rFonts w:ascii="Barlow" w:hAnsi="Barlow"/>
          <w:sz w:val="24"/>
        </w:rPr>
        <w:t>sortirnica</w:t>
      </w:r>
      <w:proofErr w:type="spellEnd"/>
      <w:r w:rsidRPr="00B303F3">
        <w:rPr>
          <w:rFonts w:ascii="Barlow" w:hAnsi="Barlow"/>
          <w:sz w:val="24"/>
        </w:rPr>
        <w:t xml:space="preserve"> no ne postrojenje za recikliranje, odnosno u samoj Studiji o utjecaju na okoliš Centra za gospodarenje otpadom Splitsko-dalmatinske županije je istaknuto kako se odvojeno prikupljeni </w:t>
      </w:r>
      <w:proofErr w:type="spellStart"/>
      <w:r w:rsidRPr="00B303F3">
        <w:rPr>
          <w:rFonts w:ascii="Barlow" w:hAnsi="Barlow"/>
          <w:sz w:val="24"/>
        </w:rPr>
        <w:t>reciklabilni</w:t>
      </w:r>
      <w:proofErr w:type="spellEnd"/>
      <w:r w:rsidRPr="00B303F3">
        <w:rPr>
          <w:rFonts w:ascii="Barlow" w:hAnsi="Barlow"/>
          <w:sz w:val="24"/>
        </w:rPr>
        <w:t xml:space="preserve"> otpad (miješani papir i miješana plastika i metal) odvojen na mjestu nastanka neće se obrađivati na Centru.</w:t>
      </w:r>
    </w:p>
    <w:p w14:paraId="14102D5E" w14:textId="77777777" w:rsidR="0026428C" w:rsidRPr="00B303F3" w:rsidRDefault="0026428C" w:rsidP="00B303F3">
      <w:pPr>
        <w:spacing w:line="276" w:lineRule="auto"/>
        <w:jc w:val="both"/>
        <w:rPr>
          <w:rFonts w:ascii="Barlow" w:hAnsi="Barlow"/>
          <w:sz w:val="24"/>
        </w:rPr>
      </w:pPr>
      <w:r w:rsidRPr="00B303F3">
        <w:rPr>
          <w:rFonts w:ascii="Barlow" w:hAnsi="Barlow"/>
          <w:sz w:val="24"/>
        </w:rPr>
        <w:t>U Centru će se iz miješanog komunalnog otpada proizvoditi RDF što nje postrojenje za recikliranje, a što je navedeno kasnije u poglavlju 3.1.1.6.</w:t>
      </w:r>
    </w:p>
    <w:p w14:paraId="4BA928EB"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Nadalje, PGO iako vrijedi do 2029., a ističe kako će probni rad </w:t>
      </w:r>
      <w:proofErr w:type="spellStart"/>
      <w:r w:rsidRPr="00B303F3">
        <w:rPr>
          <w:rFonts w:ascii="Barlow" w:hAnsi="Barlow"/>
          <w:sz w:val="24"/>
        </w:rPr>
        <w:t>Lećevice</w:t>
      </w:r>
      <w:proofErr w:type="spellEnd"/>
      <w:r w:rsidRPr="00B303F3">
        <w:rPr>
          <w:rFonts w:ascii="Barlow" w:hAnsi="Barlow"/>
          <w:sz w:val="24"/>
        </w:rPr>
        <w:t xml:space="preserve"> krenuti u 2028. godini ne daje jasan odgovor gdje će se koristiti RDF koji će se proizvoditi.  Samim tim procjene troškova za građane, ali i konačnog utjecaja na okoliš putem spaljivanja RDF-a nisu jasno iskazane. Koliko će biti uvećani troškovi za građane ukoliko će trebati plaćati i zbrinjavanje RDF-a? Ovome se mogu i pridodati troškovi kao utjecaj na okoliš povezani s prijevozom miješanog komunalnog otpada te potom RDF-a do neke od spalionica/cementara.</w:t>
      </w:r>
    </w:p>
    <w:p w14:paraId="33939AEF"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Ovakav plan koji se prvenstveno oslanja na CGO </w:t>
      </w:r>
      <w:proofErr w:type="spellStart"/>
      <w:r w:rsidRPr="00B303F3">
        <w:rPr>
          <w:rFonts w:ascii="Barlow" w:hAnsi="Barlow"/>
          <w:sz w:val="24"/>
        </w:rPr>
        <w:t>Lećevica</w:t>
      </w:r>
      <w:proofErr w:type="spellEnd"/>
      <w:r w:rsidRPr="00B303F3">
        <w:rPr>
          <w:rFonts w:ascii="Barlow" w:hAnsi="Barlow"/>
          <w:sz w:val="24"/>
        </w:rPr>
        <w:t xml:space="preserve">, koji je pritom </w:t>
      </w:r>
      <w:proofErr w:type="spellStart"/>
      <w:r w:rsidRPr="00B303F3">
        <w:rPr>
          <w:rFonts w:ascii="Barlow" w:hAnsi="Barlow"/>
          <w:sz w:val="24"/>
        </w:rPr>
        <w:t>podkapacitiran</w:t>
      </w:r>
      <w:proofErr w:type="spellEnd"/>
      <w:r w:rsidRPr="00B303F3">
        <w:rPr>
          <w:rFonts w:ascii="Barlow" w:hAnsi="Barlow"/>
          <w:sz w:val="24"/>
        </w:rPr>
        <w:t xml:space="preserve"> za prihvat cjelokupnog otpada SDŽ prijeti povećanjem troškova za građane zbog skupog načina obrade otpada, dok istovremeno ne nudi stvarna rješenja za smanjenje količine otpada. </w:t>
      </w:r>
      <w:r w:rsidRPr="00B303F3">
        <w:rPr>
          <w:rFonts w:ascii="Barlow" w:hAnsi="Barlow"/>
          <w:b/>
          <w:bCs/>
          <w:sz w:val="24"/>
        </w:rPr>
        <w:t>Sustav pristup i učinkovitije mjere i aktivnosti na lokalnoj razini</w:t>
      </w:r>
      <w:r w:rsidRPr="00B303F3">
        <w:rPr>
          <w:rFonts w:ascii="Barlow" w:hAnsi="Barlow"/>
          <w:sz w:val="24"/>
        </w:rPr>
        <w:t>  nužne su kako bi se izbjegla dugoročna šteta za okoliš i osiguralo održivo gospodarenje otpadom na razini općina i gradova. Stoga rečenica navedena na stranici 170. Kako će se otvaranjem „</w:t>
      </w:r>
      <w:proofErr w:type="spellStart"/>
      <w:r w:rsidRPr="00B303F3">
        <w:rPr>
          <w:rFonts w:ascii="Barlow" w:hAnsi="Barlow"/>
          <w:sz w:val="24"/>
        </w:rPr>
        <w:t>Lećevice</w:t>
      </w:r>
      <w:proofErr w:type="spellEnd"/>
      <w:r w:rsidRPr="00B303F3">
        <w:rPr>
          <w:rFonts w:ascii="Barlow" w:hAnsi="Barlow"/>
          <w:sz w:val="24"/>
        </w:rPr>
        <w:t xml:space="preserve">“ uspostavit integralni sustav gospodarenja otpadom na području Splitsko - dalmatinske županije, koji će služiti organiziranom, gospodarski usmjerenom i cjelovitom načinu gospodarenja otpadom </w:t>
      </w:r>
      <w:r w:rsidRPr="00B303F3">
        <w:rPr>
          <w:rFonts w:ascii="Barlow" w:hAnsi="Barlow"/>
          <w:b/>
          <w:bCs/>
          <w:sz w:val="24"/>
        </w:rPr>
        <w:t>treba brisati!</w:t>
      </w:r>
    </w:p>
    <w:p w14:paraId="40AB9B51" w14:textId="77777777" w:rsidR="0026428C" w:rsidRPr="00B303F3" w:rsidRDefault="0026428C" w:rsidP="00B303F3">
      <w:pPr>
        <w:spacing w:line="276" w:lineRule="auto"/>
        <w:rPr>
          <w:rFonts w:ascii="Barlow" w:hAnsi="Barlow"/>
          <w:sz w:val="24"/>
        </w:rPr>
      </w:pPr>
      <w:r w:rsidRPr="00C5700E">
        <w:rPr>
          <w:rFonts w:ascii="Barlow" w:hAnsi="Barlow"/>
          <w:b/>
          <w:bCs/>
          <w:sz w:val="24"/>
        </w:rPr>
        <w:t>Strana 176.</w:t>
      </w:r>
      <w:r w:rsidRPr="00B303F3">
        <w:rPr>
          <w:rFonts w:ascii="Barlow" w:hAnsi="Barlow"/>
          <w:sz w:val="24"/>
        </w:rPr>
        <w:t xml:space="preserve"> </w:t>
      </w:r>
      <w:r w:rsidRPr="00B303F3">
        <w:rPr>
          <w:rFonts w:ascii="Barlow" w:hAnsi="Barlow"/>
          <w:sz w:val="24"/>
        </w:rPr>
        <w:br/>
        <w:t xml:space="preserve">Odlagalište </w:t>
      </w:r>
      <w:proofErr w:type="spellStart"/>
      <w:r w:rsidRPr="00B303F3">
        <w:rPr>
          <w:rFonts w:ascii="Barlow" w:hAnsi="Barlow"/>
          <w:sz w:val="24"/>
        </w:rPr>
        <w:t>Karepovac</w:t>
      </w:r>
      <w:proofErr w:type="spellEnd"/>
    </w:p>
    <w:p w14:paraId="127239C3"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U tablici Tablica 2.2.6-4. </w:t>
      </w:r>
      <w:r w:rsidRPr="00B303F3">
        <w:rPr>
          <w:rFonts w:ascii="Barlow" w:hAnsi="Barlow"/>
          <w:i/>
          <w:iCs/>
          <w:sz w:val="24"/>
        </w:rPr>
        <w:t xml:space="preserve">Podaci prijavljeni od operatera odlagališta potrebnih za praćenje ostvarenja ciljeva za aktivna odlagališta na području Splitsko - dalmatinske županije za 2023. </w:t>
      </w:r>
      <w:r w:rsidRPr="00B303F3">
        <w:rPr>
          <w:rFonts w:ascii="Barlow" w:hAnsi="Barlow"/>
          <w:i/>
          <w:iCs/>
          <w:sz w:val="24"/>
        </w:rPr>
        <w:lastRenderedPageBreak/>
        <w:t xml:space="preserve">Godinu </w:t>
      </w:r>
      <w:r w:rsidRPr="00B303F3">
        <w:rPr>
          <w:rFonts w:ascii="Barlow" w:hAnsi="Barlow"/>
          <w:sz w:val="24"/>
        </w:rPr>
        <w:t xml:space="preserve">na stranici 128. ističe se kako su preostali kapaciteti odlagališta </w:t>
      </w:r>
      <w:proofErr w:type="spellStart"/>
      <w:r w:rsidRPr="00B303F3">
        <w:rPr>
          <w:rFonts w:ascii="Barlow" w:hAnsi="Barlow"/>
          <w:sz w:val="24"/>
        </w:rPr>
        <w:t>Karepovac</w:t>
      </w:r>
      <w:proofErr w:type="spellEnd"/>
      <w:r w:rsidRPr="00B303F3">
        <w:rPr>
          <w:rFonts w:ascii="Barlow" w:hAnsi="Barlow"/>
          <w:sz w:val="24"/>
        </w:rPr>
        <w:t xml:space="preserve"> 38.675,00 tona. Na stranici 89. Istaknuto je kako će se </w:t>
      </w:r>
      <w:r w:rsidRPr="00B303F3">
        <w:rPr>
          <w:rFonts w:ascii="Barlow" w:hAnsi="Barlow"/>
          <w:i/>
          <w:iCs/>
          <w:sz w:val="24"/>
        </w:rPr>
        <w:t xml:space="preserve">komine od Maslina moći zbrinjavati na području Grada Splita na području odlagališta </w:t>
      </w:r>
      <w:proofErr w:type="spellStart"/>
      <w:r w:rsidRPr="00B303F3">
        <w:rPr>
          <w:rFonts w:ascii="Barlow" w:hAnsi="Barlow"/>
          <w:i/>
          <w:iCs/>
          <w:sz w:val="24"/>
        </w:rPr>
        <w:t>Karepovac</w:t>
      </w:r>
      <w:proofErr w:type="spellEnd"/>
      <w:r w:rsidRPr="00B303F3">
        <w:rPr>
          <w:rFonts w:ascii="Barlow" w:hAnsi="Barlow"/>
          <w:sz w:val="24"/>
        </w:rPr>
        <w:t xml:space="preserve">. Ovo se navodi unatoč ograničenim kapacitetima </w:t>
      </w:r>
      <w:proofErr w:type="spellStart"/>
      <w:r w:rsidRPr="00B303F3">
        <w:rPr>
          <w:rFonts w:ascii="Barlow" w:hAnsi="Barlow"/>
          <w:sz w:val="24"/>
        </w:rPr>
        <w:t>Karepovca</w:t>
      </w:r>
      <w:proofErr w:type="spellEnd"/>
      <w:r w:rsidRPr="00B303F3">
        <w:rPr>
          <w:rFonts w:ascii="Barlow" w:hAnsi="Barlow"/>
          <w:sz w:val="24"/>
        </w:rPr>
        <w:t xml:space="preserve">. Na strani 159. Istaknuto je kako je na području Grada Splita na području odlagališta </w:t>
      </w:r>
      <w:proofErr w:type="spellStart"/>
      <w:r w:rsidRPr="00B303F3">
        <w:rPr>
          <w:rFonts w:ascii="Barlow" w:hAnsi="Barlow"/>
          <w:sz w:val="24"/>
        </w:rPr>
        <w:t>Karepovac</w:t>
      </w:r>
      <w:proofErr w:type="spellEnd"/>
      <w:r w:rsidRPr="00B303F3">
        <w:rPr>
          <w:rFonts w:ascii="Barlow" w:hAnsi="Barlow"/>
          <w:sz w:val="24"/>
        </w:rPr>
        <w:t xml:space="preserve"> planirana je izrada projektne dokumentacije za izgradnju bioplinskog postrojenja. Na strani 176. Istaknuto je kako Prema podacima iz Pregleda podataka o odlaganju i odlagalištima za 2023. godine, preostali kapacitet  </w:t>
      </w:r>
      <w:proofErr w:type="spellStart"/>
      <w:r w:rsidRPr="00B303F3">
        <w:rPr>
          <w:rFonts w:ascii="Barlow" w:hAnsi="Barlow"/>
          <w:sz w:val="24"/>
        </w:rPr>
        <w:t>Karepovca</w:t>
      </w:r>
      <w:proofErr w:type="spellEnd"/>
      <w:r w:rsidRPr="00B303F3">
        <w:rPr>
          <w:rFonts w:ascii="Barlow" w:hAnsi="Barlow"/>
          <w:sz w:val="24"/>
        </w:rPr>
        <w:t xml:space="preserve"> do planiranog zatvaranja odlagališta iznosi </w:t>
      </w:r>
      <w:bookmarkStart w:id="2" w:name="_Hlk216784172"/>
      <w:r w:rsidRPr="00B303F3">
        <w:rPr>
          <w:rFonts w:ascii="Barlow" w:hAnsi="Barlow"/>
          <w:sz w:val="24"/>
        </w:rPr>
        <w:t>315.798 m3</w:t>
      </w:r>
      <w:bookmarkEnd w:id="2"/>
      <w:r w:rsidRPr="00B303F3">
        <w:rPr>
          <w:rFonts w:ascii="Barlow" w:hAnsi="Barlow"/>
          <w:sz w:val="24"/>
        </w:rPr>
        <w:t xml:space="preserve">. Na istoj strani ističe se sukladno podacima Grada Splita, na odlagalištu </w:t>
      </w:r>
      <w:proofErr w:type="spellStart"/>
      <w:r w:rsidRPr="00B303F3">
        <w:rPr>
          <w:rFonts w:ascii="Barlow" w:hAnsi="Barlow"/>
          <w:sz w:val="24"/>
        </w:rPr>
        <w:t>Karepovac</w:t>
      </w:r>
      <w:proofErr w:type="spellEnd"/>
      <w:r w:rsidRPr="00B303F3">
        <w:rPr>
          <w:rFonts w:ascii="Barlow" w:hAnsi="Barlow"/>
          <w:sz w:val="24"/>
        </w:rPr>
        <w:t xml:space="preserve">, a prema geodetskim izmjerama napravljenim u travnju 2025. godine, preostalo je još oko 80.000 m3 kapaciteta za odlaganje otpada. Preostali kapacitet od  315.798 m3 istaknut je i na stranici 191 u Tablici 3.2-1. Aktivna odlagališta na području Splitsko – dalmatinske županije u 2023. godini . </w:t>
      </w:r>
    </w:p>
    <w:p w14:paraId="431E9E52" w14:textId="77777777" w:rsidR="0026428C" w:rsidRPr="00B303F3" w:rsidRDefault="0026428C" w:rsidP="00B303F3">
      <w:pPr>
        <w:spacing w:line="276" w:lineRule="auto"/>
        <w:jc w:val="both"/>
        <w:rPr>
          <w:rFonts w:ascii="Barlow" w:hAnsi="Barlow"/>
          <w:sz w:val="24"/>
        </w:rPr>
      </w:pPr>
      <w:r w:rsidRPr="00B303F3">
        <w:rPr>
          <w:rFonts w:ascii="Barlow" w:hAnsi="Barlow"/>
          <w:b/>
          <w:bCs/>
          <w:sz w:val="24"/>
        </w:rPr>
        <w:t xml:space="preserve">Molimo izrađivača da iznese točne podatke vezane uz </w:t>
      </w:r>
      <w:proofErr w:type="spellStart"/>
      <w:r w:rsidRPr="00B303F3">
        <w:rPr>
          <w:rFonts w:ascii="Barlow" w:hAnsi="Barlow"/>
          <w:b/>
          <w:bCs/>
          <w:sz w:val="24"/>
        </w:rPr>
        <w:t>Karepovac</w:t>
      </w:r>
      <w:proofErr w:type="spellEnd"/>
      <w:r w:rsidRPr="00B303F3">
        <w:rPr>
          <w:rFonts w:ascii="Barlow" w:hAnsi="Barlow"/>
          <w:b/>
          <w:bCs/>
          <w:sz w:val="24"/>
        </w:rPr>
        <w:t xml:space="preserve"> a koji pokazuju trenutnu situaciju?</w:t>
      </w:r>
      <w:r w:rsidRPr="00B303F3">
        <w:rPr>
          <w:rFonts w:ascii="Barlow" w:hAnsi="Barlow"/>
          <w:sz w:val="24"/>
        </w:rPr>
        <w:t xml:space="preserve"> Istovremeno smatramo kako bi Županija trebala u Planu predvidjeti konkretna rješenja i odluke vezane uz zbrinjavanje otpada, a temeljene na procjeni troškova za pojedina rješenja kao i utjecaju na okoliš.  Nadalje, neprihvatljivo je da se rezultati vezani uz postavljenja </w:t>
      </w:r>
      <w:proofErr w:type="spellStart"/>
      <w:r w:rsidRPr="00B303F3">
        <w:rPr>
          <w:rFonts w:ascii="Barlow" w:hAnsi="Barlow"/>
          <w:sz w:val="24"/>
        </w:rPr>
        <w:t>biostabilizatora</w:t>
      </w:r>
      <w:proofErr w:type="spellEnd"/>
      <w:r w:rsidRPr="00B303F3">
        <w:rPr>
          <w:rFonts w:ascii="Barlow" w:hAnsi="Barlow"/>
          <w:sz w:val="24"/>
        </w:rPr>
        <w:t xml:space="preserve"> u prethodnom razdoblju ne analiziraju te se putem PGO SDŽ  javnosti i svim zainteresiranim dionicima jasno ne prezentira daljnji smjer po pitanju gospodarenja otpadom na lokaciji </w:t>
      </w:r>
      <w:proofErr w:type="spellStart"/>
      <w:r w:rsidRPr="00B303F3">
        <w:rPr>
          <w:rFonts w:ascii="Barlow" w:hAnsi="Barlow"/>
          <w:sz w:val="24"/>
        </w:rPr>
        <w:t>Karepovac</w:t>
      </w:r>
      <w:proofErr w:type="spellEnd"/>
      <w:r w:rsidRPr="00B303F3">
        <w:rPr>
          <w:rFonts w:ascii="Barlow" w:hAnsi="Barlow"/>
          <w:sz w:val="24"/>
        </w:rPr>
        <w:t xml:space="preserve">. Osobito jer prema navodima u dokumentu CGO </w:t>
      </w:r>
      <w:proofErr w:type="spellStart"/>
      <w:r w:rsidRPr="00B303F3">
        <w:rPr>
          <w:rFonts w:ascii="Barlow" w:hAnsi="Barlow"/>
          <w:sz w:val="24"/>
        </w:rPr>
        <w:t>Lećevica</w:t>
      </w:r>
      <w:proofErr w:type="spellEnd"/>
      <w:r w:rsidRPr="00B303F3">
        <w:rPr>
          <w:rFonts w:ascii="Barlow" w:hAnsi="Barlow"/>
          <w:sz w:val="24"/>
        </w:rPr>
        <w:t xml:space="preserve"> neće biti otvoren sve do 2028. godine. Do kad će se procijeniti mogućnosti proširenja </w:t>
      </w:r>
      <w:proofErr w:type="spellStart"/>
      <w:r w:rsidRPr="00B303F3">
        <w:rPr>
          <w:rFonts w:ascii="Barlow" w:hAnsi="Barlow"/>
          <w:sz w:val="24"/>
        </w:rPr>
        <w:t>Karepovca</w:t>
      </w:r>
      <w:proofErr w:type="spellEnd"/>
      <w:r w:rsidRPr="00B303F3">
        <w:rPr>
          <w:rFonts w:ascii="Barlow" w:hAnsi="Barlow"/>
          <w:sz w:val="24"/>
        </w:rPr>
        <w:t xml:space="preserve">? Kako će se postići povećanje udjela odvojenog prikupljanja, a kako bi se osigurala mogućnost za duže zbrinjavanje otpada odlaganjem na </w:t>
      </w:r>
      <w:proofErr w:type="spellStart"/>
      <w:r w:rsidRPr="00B303F3">
        <w:rPr>
          <w:rFonts w:ascii="Barlow" w:hAnsi="Barlow"/>
          <w:sz w:val="24"/>
        </w:rPr>
        <w:t>Karepovac</w:t>
      </w:r>
      <w:proofErr w:type="spellEnd"/>
      <w:r w:rsidRPr="00B303F3">
        <w:rPr>
          <w:rFonts w:ascii="Barlow" w:hAnsi="Barlow"/>
          <w:sz w:val="24"/>
        </w:rPr>
        <w:t xml:space="preserve">? U kojoj je fazi izgradnja i opremanje  </w:t>
      </w:r>
      <w:proofErr w:type="spellStart"/>
      <w:r w:rsidRPr="00B303F3">
        <w:rPr>
          <w:rFonts w:ascii="Barlow" w:hAnsi="Barlow"/>
          <w:sz w:val="24"/>
        </w:rPr>
        <w:t>sortirnice</w:t>
      </w:r>
      <w:proofErr w:type="spellEnd"/>
      <w:r w:rsidRPr="00B303F3">
        <w:rPr>
          <w:rFonts w:ascii="Barlow" w:hAnsi="Barlow"/>
          <w:sz w:val="24"/>
        </w:rPr>
        <w:t xml:space="preserve"> i kada bi mogla početi s radom? U kojoj je fazi izgradnja i opremanje postrojenja za biološku obradu odvojeno prikupljenog biootpada u Splitu? Koliki bi bili troškovi transportiranja otpada u drugi CGO i postoji uopće takva mogućnost? Sve su ovo pitanja na koja treba odgovoriti PGO SDŽ.  </w:t>
      </w:r>
    </w:p>
    <w:p w14:paraId="08AC7746" w14:textId="77777777" w:rsidR="0026428C" w:rsidRPr="00C5700E" w:rsidRDefault="0026428C" w:rsidP="00B303F3">
      <w:pPr>
        <w:spacing w:line="276" w:lineRule="auto"/>
        <w:jc w:val="both"/>
        <w:rPr>
          <w:rFonts w:ascii="Barlow" w:hAnsi="Barlow"/>
          <w:b/>
          <w:bCs/>
          <w:sz w:val="24"/>
        </w:rPr>
      </w:pPr>
      <w:r w:rsidRPr="00C5700E">
        <w:rPr>
          <w:rFonts w:ascii="Barlow" w:hAnsi="Barlow"/>
          <w:b/>
          <w:bCs/>
          <w:sz w:val="24"/>
        </w:rPr>
        <w:t xml:space="preserve">Strana 181. </w:t>
      </w:r>
    </w:p>
    <w:p w14:paraId="5B6876D8" w14:textId="77777777" w:rsidR="0026428C" w:rsidRPr="00B303F3" w:rsidRDefault="0026428C" w:rsidP="00B303F3">
      <w:pPr>
        <w:spacing w:line="276" w:lineRule="auto"/>
        <w:jc w:val="both"/>
        <w:rPr>
          <w:rFonts w:ascii="Barlow" w:hAnsi="Barlow"/>
          <w:sz w:val="24"/>
        </w:rPr>
      </w:pPr>
      <w:r w:rsidRPr="00B303F3">
        <w:rPr>
          <w:rFonts w:ascii="Barlow" w:hAnsi="Barlow"/>
          <w:sz w:val="24"/>
        </w:rPr>
        <w:t>Ponovna uporaba</w:t>
      </w:r>
    </w:p>
    <w:p w14:paraId="51A42212"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S obzirom na važnost ponovne uporabe kao prioriteta u gospodarenju otpadom smatramo kako PGO SDŽ nije donio konkretne mjere ponovne uporabe, a koje mogu doprinijeti smanjivanju stvaranja otpada u SDŽ. </w:t>
      </w:r>
    </w:p>
    <w:p w14:paraId="20BBF212"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Molimo izrađivača da konkretnije pojasni o kojim se akcijama prikupljanja rabljenih proizvoda radi, a navedenim u Tablici 3.1.1.7-1. Provedene akcije prikupljanja rabljenih proizvoda do 2024. godine i planirane akcije prikupljanja rabljenih proizvoda od 2024. do 2029. godine na području JLS Splitsko - dalmatinske županije.  Također, s obzirom na iskazanu nezainteresiranost JLS-a , ali i Županije za provedbu ponovne uporabe kao jednog od prioriteta u gospodarenju otpadom predlažemo Županiji organizaciju edukacijskih aktivnosti te podizanje razine svijesti za predstavnike JLS. </w:t>
      </w:r>
    </w:p>
    <w:p w14:paraId="3CB992FA" w14:textId="223B2543" w:rsidR="0026428C" w:rsidRPr="00B303F3" w:rsidRDefault="0026428C" w:rsidP="00B303F3">
      <w:pPr>
        <w:spacing w:line="276" w:lineRule="auto"/>
        <w:jc w:val="both"/>
        <w:rPr>
          <w:rFonts w:ascii="Barlow" w:hAnsi="Barlow"/>
          <w:sz w:val="24"/>
        </w:rPr>
      </w:pPr>
      <w:r w:rsidRPr="00B303F3">
        <w:rPr>
          <w:rFonts w:ascii="Barlow" w:hAnsi="Barlow"/>
          <w:sz w:val="24"/>
        </w:rPr>
        <w:lastRenderedPageBreak/>
        <w:t xml:space="preserve">Nadalje, istakli bi kako u SDŽ postoji RETO centar koji prikuplja rabljeni namještaj i opremu iz domaćinstava te se isti renovira i prodaje građanima. Iskustva ovog Centra, kao i iskustva brojnih uspješnih centara za ponovnu uporabu u Hrvatskoj i drugim zemljama mogu biti korištena pri pokretanju Centra za ponovnu u SDŽ. </w:t>
      </w:r>
    </w:p>
    <w:p w14:paraId="36486321" w14:textId="3AECB3F3" w:rsidR="0026428C" w:rsidRPr="00C5700E" w:rsidRDefault="0026428C" w:rsidP="00B303F3">
      <w:pPr>
        <w:spacing w:line="276" w:lineRule="auto"/>
        <w:jc w:val="both"/>
        <w:rPr>
          <w:rFonts w:ascii="Barlow" w:hAnsi="Barlow"/>
          <w:b/>
          <w:bCs/>
          <w:sz w:val="24"/>
        </w:rPr>
      </w:pPr>
      <w:r w:rsidRPr="00C5700E">
        <w:rPr>
          <w:rFonts w:ascii="Barlow" w:hAnsi="Barlow"/>
          <w:b/>
          <w:bCs/>
          <w:sz w:val="24"/>
        </w:rPr>
        <w:t>Strana 186</w:t>
      </w:r>
      <w:r w:rsidR="00C5700E" w:rsidRPr="00C5700E">
        <w:rPr>
          <w:rFonts w:ascii="Barlow" w:hAnsi="Barlow"/>
          <w:b/>
          <w:bCs/>
          <w:sz w:val="24"/>
        </w:rPr>
        <w:t>.</w:t>
      </w:r>
    </w:p>
    <w:p w14:paraId="120FA875"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Ističemo kako je nevjerojatno da ne postoje podaci o tvrtkama te da se u PGO SDŽ navodi rečenica: </w:t>
      </w:r>
      <w:r w:rsidRPr="00B303F3">
        <w:rPr>
          <w:rFonts w:ascii="Barlow" w:hAnsi="Barlow"/>
          <w:i/>
          <w:iCs/>
          <w:sz w:val="24"/>
        </w:rPr>
        <w:t xml:space="preserve">U trenutku izrade dokumenta nije objavljen Pregled podataka iz Registra dozvola i potvrda za gospodarenje otpadom MZOZT-a za 2022. Godinu. </w:t>
      </w:r>
      <w:r w:rsidRPr="00B303F3">
        <w:rPr>
          <w:rFonts w:ascii="Barlow" w:hAnsi="Barlow"/>
          <w:sz w:val="24"/>
        </w:rPr>
        <w:t xml:space="preserve">Nadalje, u Tablici 3.1.1.8-1. Pregled tvrtki koje obavljaju neku od djelatnosti gospodarenja otpadom u razdoblju od 2018. do 2022. godine na području Splitsko - dalmatinske županije je dan broj tvrtki, a ne njihov pregled, </w:t>
      </w:r>
      <w:r w:rsidRPr="00B303F3">
        <w:rPr>
          <w:rFonts w:ascii="Barlow" w:hAnsi="Barlow"/>
          <w:b/>
          <w:bCs/>
          <w:sz w:val="24"/>
        </w:rPr>
        <w:t>te smatramo kako je tablicu potrebno dopuniti sa podacima o tvrtkama koje se bave gospodarenjem otpadom.</w:t>
      </w:r>
      <w:r w:rsidRPr="00B303F3">
        <w:rPr>
          <w:rFonts w:ascii="Barlow" w:hAnsi="Barlow"/>
          <w:sz w:val="24"/>
        </w:rPr>
        <w:t xml:space="preserve"> Nadalje,  zbog važnosti tržišta sekundarnih sirovina nužno potrebno detaljnije obraditi ovo poglavlje s relevantnim i novim informacijama. Tržište sekundarnih sirovima ima ključnu ulogu u gospodarenju otpadom te omogućava da reciklirani materijali ponovno uđu u proizvodni lanac, smanjujući ovisnost o primarnim resursima.  U okviru PGO SDŽ-a trebalo je promisliti  i predvidjeti mjere na koji način će Županija osigurati poticanje razvoja tržišta sekundarnih sirovina na svom području.</w:t>
      </w:r>
    </w:p>
    <w:p w14:paraId="7DBE3E35" w14:textId="5211460B" w:rsidR="0026428C" w:rsidRPr="00C5700E" w:rsidRDefault="0026428C" w:rsidP="00B303F3">
      <w:pPr>
        <w:spacing w:line="276" w:lineRule="auto"/>
        <w:jc w:val="both"/>
        <w:rPr>
          <w:rFonts w:ascii="Barlow" w:hAnsi="Barlow"/>
          <w:b/>
          <w:bCs/>
          <w:sz w:val="24"/>
        </w:rPr>
      </w:pPr>
      <w:r w:rsidRPr="00C5700E">
        <w:rPr>
          <w:rFonts w:ascii="Barlow" w:hAnsi="Barlow"/>
          <w:b/>
          <w:bCs/>
          <w:sz w:val="24"/>
        </w:rPr>
        <w:t>Strana 188</w:t>
      </w:r>
      <w:r w:rsidR="00C5700E" w:rsidRPr="00C5700E">
        <w:rPr>
          <w:rFonts w:ascii="Barlow" w:hAnsi="Barlow"/>
          <w:b/>
          <w:bCs/>
          <w:sz w:val="24"/>
        </w:rPr>
        <w:t>.</w:t>
      </w:r>
    </w:p>
    <w:p w14:paraId="06656FD1"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Među crnim točkama nije navedena lokacija bivše tvornice ferolegura Dalmacija, Dugi Rat. Podsjećamo kako se ista nalazi u Strategiji gospodarenja otpadom iz 2005. Svjesni smo činjenice kako je  investitor kao posjednik otpada, prilikom donošenja Sanacijskog programa, na temelju provedenih vještačenja, trosku kategorizirao kao mineralnu sirovinu. Međutim napominjemo kako na lokaciji, nakon već dva desetljeća još uvijek nije započeta sanacija. S druge strane mještani su suočeni s porastom respiratornih i malignih oboljenja te svakodnevnim zagađenjem zraka, mora i tla. </w:t>
      </w:r>
    </w:p>
    <w:p w14:paraId="7C7F6270" w14:textId="7BB8F181" w:rsidR="0026428C" w:rsidRPr="00C5700E" w:rsidRDefault="0026428C" w:rsidP="00B303F3">
      <w:pPr>
        <w:spacing w:line="276" w:lineRule="auto"/>
        <w:jc w:val="both"/>
        <w:rPr>
          <w:rFonts w:ascii="Barlow" w:hAnsi="Barlow"/>
          <w:b/>
          <w:bCs/>
          <w:sz w:val="24"/>
        </w:rPr>
      </w:pPr>
      <w:r w:rsidRPr="00C5700E">
        <w:rPr>
          <w:rFonts w:ascii="Barlow" w:hAnsi="Barlow"/>
          <w:b/>
          <w:bCs/>
          <w:sz w:val="24"/>
        </w:rPr>
        <w:t>Strana 194</w:t>
      </w:r>
      <w:r w:rsidR="00C5700E" w:rsidRPr="00C5700E">
        <w:rPr>
          <w:rFonts w:ascii="Barlow" w:hAnsi="Barlow"/>
          <w:b/>
          <w:bCs/>
          <w:sz w:val="24"/>
        </w:rPr>
        <w:t>.</w:t>
      </w:r>
    </w:p>
    <w:p w14:paraId="3DF067C3" w14:textId="77777777" w:rsidR="0026428C" w:rsidRPr="00B303F3" w:rsidRDefault="0026428C" w:rsidP="00B303F3">
      <w:pPr>
        <w:spacing w:line="276" w:lineRule="auto"/>
        <w:jc w:val="both"/>
        <w:rPr>
          <w:rFonts w:ascii="Barlow" w:hAnsi="Barlow"/>
          <w:b/>
          <w:bCs/>
          <w:sz w:val="24"/>
        </w:rPr>
      </w:pPr>
      <w:r w:rsidRPr="00B303F3">
        <w:rPr>
          <w:rFonts w:ascii="Barlow" w:hAnsi="Barlow"/>
          <w:b/>
          <w:bCs/>
          <w:sz w:val="24"/>
        </w:rPr>
        <w:t>Ilegalno odbačeni otpad</w:t>
      </w:r>
    </w:p>
    <w:p w14:paraId="4AC96E18" w14:textId="77777777" w:rsidR="0026428C" w:rsidRPr="00B303F3" w:rsidRDefault="0026428C" w:rsidP="00B303F3">
      <w:pPr>
        <w:spacing w:line="276" w:lineRule="auto"/>
        <w:jc w:val="both"/>
        <w:rPr>
          <w:rFonts w:ascii="Barlow" w:hAnsi="Barlow"/>
          <w:sz w:val="24"/>
        </w:rPr>
      </w:pPr>
      <w:r w:rsidRPr="00B303F3">
        <w:rPr>
          <w:rFonts w:ascii="Barlow" w:hAnsi="Barlow"/>
          <w:sz w:val="24"/>
        </w:rPr>
        <w:t>U Tablici 4-1. Podaci o lokacijama odbačenog otpada i njihovom uklanjanju po JLS Splitsko - dalmatinske županije nisu navedeni podaci svih općina /gradova u Županiji. Naime, prijave na Zeleni telefon Sunca ukazuju na znatno više lokacija ilegalno odbačenog otpada. Također, kod podataka za Split pretpostavljamo da se radi o otpadu odloženom kraj spremnika za komunalni otpad koje splitska Čistoća bilježi kao ilegalne. Međutim, ne radi se o lokacijama otpada u prirodi što je daleko veći problem te ima pogubniji utjecaj na okoliš i zdravlje ljudi, osobito kao se ilegalno odlaže opasni otpad.</w:t>
      </w:r>
    </w:p>
    <w:p w14:paraId="616DA73B" w14:textId="1444371B" w:rsidR="0026428C" w:rsidRPr="00B303F3" w:rsidRDefault="0026428C" w:rsidP="00B303F3">
      <w:pPr>
        <w:spacing w:line="276" w:lineRule="auto"/>
        <w:jc w:val="both"/>
        <w:rPr>
          <w:rFonts w:ascii="Barlow" w:hAnsi="Barlow"/>
          <w:sz w:val="24"/>
        </w:rPr>
      </w:pPr>
      <w:r w:rsidRPr="00B303F3">
        <w:rPr>
          <w:rFonts w:ascii="Barlow" w:hAnsi="Barlow"/>
          <w:sz w:val="24"/>
        </w:rPr>
        <w:t xml:space="preserve">Lokacije u Splitu prikazane kao ilegalno odbačeni otpad rezultat su nepoštivanja sustava odvoza glomaznog otpada, koji očito nije niti adekvatan. Odnosno ne postaji dobar sustav </w:t>
      </w:r>
      <w:r w:rsidRPr="00B303F3">
        <w:rPr>
          <w:rFonts w:ascii="Barlow" w:hAnsi="Barlow"/>
          <w:sz w:val="24"/>
        </w:rPr>
        <w:lastRenderedPageBreak/>
        <w:t xml:space="preserve">kažnjavanja prekršitelja, kao niti  građanima prilagođen sustav odvoza. U tom smislu trebalo bi raditi na unaprjeđenju primjene mjera kažnjavanja ilegalno odbačenog otpada te na boljoj razradi sustava odvoza glomaznog otpada. </w:t>
      </w:r>
    </w:p>
    <w:p w14:paraId="46B575D3" w14:textId="0115D615" w:rsidR="0026428C" w:rsidRPr="00C5700E" w:rsidRDefault="0026428C" w:rsidP="00B303F3">
      <w:pPr>
        <w:spacing w:line="276" w:lineRule="auto"/>
        <w:jc w:val="both"/>
        <w:rPr>
          <w:rFonts w:ascii="Barlow" w:hAnsi="Barlow"/>
          <w:b/>
          <w:bCs/>
          <w:sz w:val="24"/>
        </w:rPr>
      </w:pPr>
      <w:r w:rsidRPr="00C5700E">
        <w:rPr>
          <w:rFonts w:ascii="Barlow" w:hAnsi="Barlow"/>
          <w:b/>
          <w:bCs/>
          <w:sz w:val="24"/>
        </w:rPr>
        <w:t>Strana 217</w:t>
      </w:r>
      <w:r w:rsidR="00C5700E" w:rsidRPr="00C5700E">
        <w:rPr>
          <w:rFonts w:ascii="Barlow" w:hAnsi="Barlow"/>
          <w:b/>
          <w:bCs/>
          <w:sz w:val="24"/>
        </w:rPr>
        <w:t>.</w:t>
      </w:r>
    </w:p>
    <w:p w14:paraId="3A75EF01" w14:textId="77777777" w:rsidR="0026428C" w:rsidRPr="00B303F3" w:rsidRDefault="0026428C" w:rsidP="00B303F3">
      <w:pPr>
        <w:spacing w:line="276" w:lineRule="auto"/>
        <w:jc w:val="both"/>
        <w:rPr>
          <w:rFonts w:ascii="Barlow" w:hAnsi="Barlow"/>
          <w:i/>
          <w:iCs/>
          <w:sz w:val="24"/>
        </w:rPr>
      </w:pPr>
      <w:r w:rsidRPr="00B303F3">
        <w:rPr>
          <w:rFonts w:ascii="Barlow" w:hAnsi="Barlow"/>
          <w:sz w:val="24"/>
        </w:rPr>
        <w:t xml:space="preserve">Na strani 217 ističe se  kako </w:t>
      </w:r>
      <w:r w:rsidRPr="00B303F3">
        <w:rPr>
          <w:rFonts w:ascii="Barlow" w:hAnsi="Barlow"/>
          <w:i/>
          <w:iCs/>
          <w:sz w:val="24"/>
        </w:rPr>
        <w:t>u izračun nisu uzeti u obzir podaci o noćenjima iz nautike obzirom da iste nije bilo moguće locirati po županijama. Riječ je o zanemarivim vrijednostima.</w:t>
      </w:r>
    </w:p>
    <w:p w14:paraId="22278E1D" w14:textId="6F476602" w:rsidR="0026428C" w:rsidRPr="00B303F3" w:rsidRDefault="0026428C" w:rsidP="00B303F3">
      <w:pPr>
        <w:spacing w:line="276" w:lineRule="auto"/>
        <w:jc w:val="both"/>
        <w:rPr>
          <w:rFonts w:ascii="Barlow" w:hAnsi="Barlow"/>
          <w:sz w:val="24"/>
        </w:rPr>
      </w:pPr>
      <w:r w:rsidRPr="00B303F3">
        <w:rPr>
          <w:rFonts w:ascii="Barlow" w:hAnsi="Barlow"/>
          <w:sz w:val="24"/>
        </w:rPr>
        <w:t>Smatramo kako nautički turizam ima utjecaj na gospodarenje otpadom u SDŽ te kao takav ne smije biti zanemaren. Hrvatska je zemlja koja raspolaže s najvećom charter flotom na svijetu, s oko 4.500 plovila, a taj broj konstantno raste</w:t>
      </w:r>
      <w:r w:rsidRPr="00B303F3">
        <w:rPr>
          <w:rFonts w:ascii="Times New Roman" w:hAnsi="Times New Roman" w:cs="Times New Roman"/>
          <w:sz w:val="24"/>
        </w:rPr>
        <w:t>​</w:t>
      </w:r>
      <w:r w:rsidRPr="00B303F3">
        <w:rPr>
          <w:rFonts w:ascii="Barlow" w:hAnsi="Barlow" w:cs="Times New Roman"/>
          <w:sz w:val="24"/>
        </w:rPr>
        <w:t xml:space="preserve">. </w:t>
      </w:r>
      <w:r w:rsidRPr="00B303F3">
        <w:rPr>
          <w:rFonts w:ascii="Barlow" w:hAnsi="Barlow"/>
          <w:sz w:val="24"/>
        </w:rPr>
        <w:t xml:space="preserve">Najveći dio te flote, oko 70%, nalazi se u splitskom akvatoriju, regiji koja se profilirala kao središte nautičkog turizma. Podaci o broju noćenja u nautici se bilježe putem </w:t>
      </w:r>
      <w:proofErr w:type="spellStart"/>
      <w:r w:rsidRPr="00B303F3">
        <w:rPr>
          <w:rFonts w:ascii="Barlow" w:hAnsi="Barlow"/>
          <w:sz w:val="24"/>
        </w:rPr>
        <w:t>Ecrew</w:t>
      </w:r>
      <w:proofErr w:type="spellEnd"/>
      <w:r w:rsidRPr="00B303F3">
        <w:rPr>
          <w:rFonts w:ascii="Barlow" w:hAnsi="Barlow"/>
          <w:sz w:val="24"/>
        </w:rPr>
        <w:t xml:space="preserve">, te ne vidimo razloga de ne budu obuhvaćeni, osobito s obzirom na važnost ove grane turizma za SDŽ. Napominjemo kako i dio morskog otpada porijeklo vuče iz nautičkog turizma.  </w:t>
      </w:r>
    </w:p>
    <w:p w14:paraId="6283AEAC" w14:textId="3DC28C9D" w:rsidR="0026428C" w:rsidRPr="00C5700E" w:rsidRDefault="0026428C" w:rsidP="00B303F3">
      <w:pPr>
        <w:spacing w:line="276" w:lineRule="auto"/>
        <w:jc w:val="both"/>
        <w:rPr>
          <w:rFonts w:ascii="Barlow" w:hAnsi="Barlow"/>
          <w:b/>
          <w:bCs/>
          <w:sz w:val="24"/>
        </w:rPr>
      </w:pPr>
      <w:r w:rsidRPr="00C5700E">
        <w:rPr>
          <w:rFonts w:ascii="Barlow" w:hAnsi="Barlow"/>
          <w:b/>
          <w:bCs/>
          <w:sz w:val="24"/>
        </w:rPr>
        <w:t>Strana 224</w:t>
      </w:r>
      <w:r w:rsidR="00C5700E" w:rsidRPr="00C5700E">
        <w:rPr>
          <w:rFonts w:ascii="Barlow" w:hAnsi="Barlow"/>
          <w:b/>
          <w:bCs/>
          <w:sz w:val="24"/>
        </w:rPr>
        <w:t>.</w:t>
      </w:r>
    </w:p>
    <w:p w14:paraId="70D0E8E7"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Na strani 224. navedena je </w:t>
      </w:r>
      <w:r w:rsidRPr="00B303F3">
        <w:rPr>
          <w:rFonts w:ascii="Barlow" w:hAnsi="Barlow"/>
          <w:b/>
          <w:bCs/>
          <w:sz w:val="24"/>
        </w:rPr>
        <w:t xml:space="preserve">Tablica 5.3-2. </w:t>
      </w:r>
      <w:r w:rsidRPr="00B303F3">
        <w:rPr>
          <w:rFonts w:ascii="Barlow" w:hAnsi="Barlow"/>
          <w:sz w:val="24"/>
        </w:rPr>
        <w:t xml:space="preserve">s podacima o sastavu otpada na razini RH iz 2015. godine. Budući je na stranici 132. navedeno  kako </w:t>
      </w:r>
      <w:r w:rsidRPr="00B303F3">
        <w:rPr>
          <w:rFonts w:ascii="Barlow" w:hAnsi="Barlow"/>
          <w:i/>
          <w:iCs/>
          <w:sz w:val="24"/>
        </w:rPr>
        <w:t xml:space="preserve">na području samo 2 JLS (Grad Solin i Grad Split) provedena je analiza sastava komunalnog otpada (nisu se razmatrale Općina Prgomet i Općina Sućuraj jer nisu dostavile IRDJU obrazac za 2021. godinu) </w:t>
      </w:r>
      <w:r w:rsidRPr="00B303F3">
        <w:rPr>
          <w:rFonts w:ascii="Barlow" w:hAnsi="Barlow"/>
          <w:sz w:val="24"/>
        </w:rPr>
        <w:t>nije jasno zašto nisu izneseni ovi podaci, osobito jer su podaci o sastavu otpada još iz 2015. te je također velika je vjerojatnost zbog turističkih aktivnosti da je sastav otpada u SDŽ drugačiji nego što je to na razini Hrvatske.</w:t>
      </w:r>
    </w:p>
    <w:p w14:paraId="1983DFC1" w14:textId="21215204" w:rsidR="0026428C" w:rsidRPr="00C5700E" w:rsidRDefault="0026428C" w:rsidP="00B303F3">
      <w:pPr>
        <w:spacing w:line="276" w:lineRule="auto"/>
        <w:jc w:val="both"/>
        <w:rPr>
          <w:rFonts w:ascii="Barlow" w:hAnsi="Barlow"/>
          <w:b/>
          <w:bCs/>
          <w:sz w:val="24"/>
        </w:rPr>
      </w:pPr>
      <w:r w:rsidRPr="00C5700E">
        <w:rPr>
          <w:rFonts w:ascii="Barlow" w:hAnsi="Barlow"/>
          <w:b/>
          <w:bCs/>
          <w:sz w:val="24"/>
        </w:rPr>
        <w:t>Strana 225</w:t>
      </w:r>
      <w:r w:rsidR="00C5700E" w:rsidRPr="00C5700E">
        <w:rPr>
          <w:rFonts w:ascii="Barlow" w:hAnsi="Barlow"/>
          <w:b/>
          <w:bCs/>
          <w:sz w:val="24"/>
        </w:rPr>
        <w:t>.</w:t>
      </w:r>
    </w:p>
    <w:p w14:paraId="454C24E7" w14:textId="30F6F71C" w:rsidR="0026428C" w:rsidRPr="00B303F3" w:rsidRDefault="0026428C" w:rsidP="00B303F3">
      <w:pPr>
        <w:spacing w:line="276" w:lineRule="auto"/>
        <w:jc w:val="both"/>
        <w:rPr>
          <w:rFonts w:ascii="Barlow" w:hAnsi="Barlow"/>
          <w:sz w:val="24"/>
        </w:rPr>
      </w:pPr>
      <w:r w:rsidRPr="00B303F3">
        <w:rPr>
          <w:rFonts w:ascii="Barlow" w:hAnsi="Barlow"/>
          <w:sz w:val="24"/>
        </w:rPr>
        <w:t xml:space="preserve">Na strani 225. istaknuto je: količina otpada se povećava za oko 1 % godišnje (temeljem trenda povećanja ukupnih količina otpada prema podacima u razdoblju od 2018. do 2022. godine (izuzev 2020. godine zbog posljedica pandemije COVID-19) . Istovremeno na strani 216 jasno je istaknuto kako je u 2023. i 2024. količina stvorenog otpada po stanovniku manja odnosno 616 i 606 kg. Stoga nije jasno zašto se planira povećanje količine nastalog otpada? S obzirom na hijerarhiju gospodarenja otpadom te prioritet sprječavanje nastanka otpada, smatramo mjere predviđene PGO SDŽ trebale rezultirati daljnjim nastavkom stvaranja manjih količina otpada u SDŽ. Stoga bi se temeljem projekcija smanjivanja stvaranja otpada  trebale planirati sve ostale mjere u Planu. PGO SDŽ se unatoč podacima koji u 2023. i 2024. ukazuju suprotno i dalje oslanja na paradigmu neprestanog rasta, a što s obzirom na ograničene prirodne i prostorne resurse nije moguće. Podsjećamo i odlagalište koje se planira u okviru CGO </w:t>
      </w:r>
      <w:proofErr w:type="spellStart"/>
      <w:r w:rsidRPr="00B303F3">
        <w:rPr>
          <w:rFonts w:ascii="Barlow" w:hAnsi="Barlow"/>
          <w:sz w:val="24"/>
        </w:rPr>
        <w:t>Lećevica</w:t>
      </w:r>
      <w:proofErr w:type="spellEnd"/>
      <w:r w:rsidRPr="00B303F3">
        <w:rPr>
          <w:rFonts w:ascii="Barlow" w:hAnsi="Barlow"/>
          <w:sz w:val="24"/>
        </w:rPr>
        <w:t xml:space="preserve"> predviđeno je tek za narednih 30 godina. </w:t>
      </w:r>
    </w:p>
    <w:p w14:paraId="153084DE" w14:textId="0D72B315" w:rsidR="0026428C" w:rsidRPr="00C5700E" w:rsidRDefault="0026428C" w:rsidP="00B303F3">
      <w:pPr>
        <w:spacing w:line="276" w:lineRule="auto"/>
        <w:jc w:val="both"/>
        <w:rPr>
          <w:rFonts w:ascii="Barlow" w:hAnsi="Barlow"/>
          <w:b/>
          <w:bCs/>
          <w:sz w:val="24"/>
        </w:rPr>
      </w:pPr>
      <w:r w:rsidRPr="00C5700E">
        <w:rPr>
          <w:rFonts w:ascii="Barlow" w:hAnsi="Barlow"/>
          <w:b/>
          <w:bCs/>
          <w:sz w:val="24"/>
        </w:rPr>
        <w:t>Strana 226</w:t>
      </w:r>
      <w:r w:rsidR="00C5700E" w:rsidRPr="00C5700E">
        <w:rPr>
          <w:rFonts w:ascii="Barlow" w:hAnsi="Barlow"/>
          <w:b/>
          <w:bCs/>
          <w:sz w:val="24"/>
        </w:rPr>
        <w:t>.</w:t>
      </w:r>
    </w:p>
    <w:p w14:paraId="0165EF0D" w14:textId="77777777" w:rsidR="0026428C" w:rsidRPr="00B303F3" w:rsidRDefault="0026428C" w:rsidP="00B303F3">
      <w:pPr>
        <w:spacing w:line="276" w:lineRule="auto"/>
        <w:jc w:val="both"/>
        <w:rPr>
          <w:rFonts w:ascii="Barlow" w:hAnsi="Barlow"/>
          <w:sz w:val="24"/>
        </w:rPr>
      </w:pPr>
      <w:proofErr w:type="spellStart"/>
      <w:r w:rsidRPr="00B303F3">
        <w:rPr>
          <w:rFonts w:ascii="Barlow" w:hAnsi="Barlow"/>
          <w:sz w:val="24"/>
        </w:rPr>
        <w:t>Pausus</w:t>
      </w:r>
      <w:proofErr w:type="spellEnd"/>
      <w:r w:rsidRPr="00B303F3">
        <w:rPr>
          <w:rFonts w:ascii="Barlow" w:hAnsi="Barlow"/>
          <w:i/>
          <w:iCs/>
          <w:sz w:val="24"/>
        </w:rPr>
        <w:t xml:space="preserve">: Na području Splitsko - dalmatinske županije uspostava sustava odvojeno prikupljenog otpada je još u fazi realizacije na području pojedinih jedinica lokalne samouprave te nije dovoljno </w:t>
      </w:r>
      <w:r w:rsidRPr="00B303F3">
        <w:rPr>
          <w:rFonts w:ascii="Barlow" w:hAnsi="Barlow"/>
          <w:i/>
          <w:iCs/>
          <w:sz w:val="24"/>
        </w:rPr>
        <w:lastRenderedPageBreak/>
        <w:t>razvijena svijest stanovništva o važnosti odvojenog sakupljanja otpada, tako da je potrebno uložiti dodatni napor da bi se u narednim godinama ostvario udio odvojeno prikupljenog otpada sukladno Strategiji gospodarenja otpadom RH</w:t>
      </w:r>
      <w:r w:rsidRPr="00B303F3">
        <w:rPr>
          <w:rFonts w:ascii="Barlow" w:hAnsi="Barlow"/>
          <w:sz w:val="24"/>
        </w:rPr>
        <w:t xml:space="preserve"> potrebno je dopuniti i izmijeniti kako bi prikazivao pravo stanje po pitanju gospodarenja otpadom u SDŽ, a sukladno svim navedenim podacima u PGO SDŽ. </w:t>
      </w:r>
    </w:p>
    <w:p w14:paraId="3E907441"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Predlažemo sljedeću formulaciju: </w:t>
      </w:r>
      <w:r w:rsidRPr="00B303F3">
        <w:rPr>
          <w:rFonts w:ascii="Barlow" w:hAnsi="Barlow"/>
          <w:i/>
          <w:iCs/>
          <w:sz w:val="24"/>
        </w:rPr>
        <w:t>Na području Splitsko - dalmatinske županije uspostava sustava odvojeno prikupljenog otpada je još u fazi realizacije na području pojedinih jedinica lokalne samouprave, unatoč zakonskim obvezama. Još uvijek nije dovoljno razvijena svijest odgovornih osoba u JLS, u komunalnim poduzećima te stanovništva generalno o važnosti poštivanja prioriteta u gospodarenju otpadom i provedbe mjera sprječavanja nastanka otpada, ponovne uporabe i odvojenog sakupljanja otpada. Stoga je potrebno uložiti dodatni napor da bi se u narednim godinama ostvario udio odvojeno prikupljenog otpada sukladno Planu gospodarenja otpadom RK i obvezama EU.</w:t>
      </w:r>
      <w:r w:rsidRPr="00B303F3">
        <w:rPr>
          <w:rFonts w:ascii="Barlow" w:hAnsi="Barlow"/>
          <w:sz w:val="24"/>
        </w:rPr>
        <w:t xml:space="preserve"> </w:t>
      </w:r>
    </w:p>
    <w:p w14:paraId="46C8B3BC" w14:textId="77777777" w:rsidR="0026428C" w:rsidRPr="00B303F3" w:rsidRDefault="0026428C" w:rsidP="00B303F3">
      <w:pPr>
        <w:spacing w:line="276" w:lineRule="auto"/>
        <w:jc w:val="both"/>
        <w:rPr>
          <w:rFonts w:ascii="Barlow" w:hAnsi="Barlow"/>
          <w:sz w:val="24"/>
        </w:rPr>
      </w:pPr>
      <w:r w:rsidRPr="00B303F3">
        <w:rPr>
          <w:rFonts w:ascii="Barlow" w:hAnsi="Barlow"/>
          <w:sz w:val="24"/>
        </w:rPr>
        <w:t>Ističemo kako je Strategija gospodarenja otpadom Republike Hrvatske (NN 130/05) donesena temeljem Zakona o gospodarenju otpadom (NN 178/04, 111/06, 60/08, 87/09), koji je prestao važiti danom stupanja na snagu Zakona o održivom gospodarenju otpadom (NN 94/13, 73/17, 14/19, 98/19), nakon čega je donesen i trenutno važeći Zakon o gospodarenju otpadom (NN 84/21). S obzirom da je pravni temelj ove Strategije nevažeći i da su nakon istog donesena čak dva nova zakona u pitanjima gospodarenja otpadom, nevažeća je i predmetna Strategija. Donošenje dvaju novih zakona ukazuje na evidentnu potrebu usklađivanja propisa s pravnom stečevinom EU-a kao i odgovaranja na aktualne izazove gospodarenja otpadom pri provedbi zakona. Stoga, osim što je neutemeljeno pozivati se na istu, Strategija ni kontekstualno ne može pružiti smjer za gospodarenje otpadom PGO-u koji bi trebao biti daleko suvremeniji i napredniji od Strategije.  Ova Strategija čak se niti ne navodi u tablici Tablica 5.5.1-1. Usporedba ciljeva strategija, planova i programa na nacionalnoj i županijskoj razini s ciljevima koji se odnose na PGO Splitsko - dalmatinske županije.</w:t>
      </w:r>
    </w:p>
    <w:p w14:paraId="1CA41B99" w14:textId="3C5A9DE1" w:rsidR="0026428C" w:rsidRPr="007C4D5D" w:rsidRDefault="0026428C" w:rsidP="00B303F3">
      <w:pPr>
        <w:spacing w:line="276" w:lineRule="auto"/>
        <w:jc w:val="both"/>
        <w:rPr>
          <w:rFonts w:ascii="Barlow" w:hAnsi="Barlow"/>
          <w:b/>
          <w:bCs/>
          <w:sz w:val="24"/>
        </w:rPr>
      </w:pPr>
      <w:r w:rsidRPr="007C4D5D">
        <w:rPr>
          <w:rFonts w:ascii="Barlow" w:hAnsi="Barlow"/>
          <w:b/>
          <w:bCs/>
          <w:sz w:val="24"/>
        </w:rPr>
        <w:t>Strana 231</w:t>
      </w:r>
      <w:r w:rsidR="007C4D5D" w:rsidRPr="007C4D5D">
        <w:rPr>
          <w:rFonts w:ascii="Barlow" w:hAnsi="Barlow"/>
          <w:b/>
          <w:bCs/>
          <w:sz w:val="24"/>
        </w:rPr>
        <w:t>.</w:t>
      </w:r>
      <w:r w:rsidRPr="007C4D5D">
        <w:rPr>
          <w:rFonts w:ascii="Barlow" w:hAnsi="Barlow"/>
          <w:b/>
          <w:bCs/>
          <w:sz w:val="24"/>
        </w:rPr>
        <w:t xml:space="preserve"> </w:t>
      </w:r>
      <w:r w:rsidR="007C4D5D">
        <w:rPr>
          <w:rFonts w:ascii="Barlow" w:hAnsi="Barlow"/>
          <w:b/>
          <w:bCs/>
          <w:sz w:val="24"/>
        </w:rPr>
        <w:t>-</w:t>
      </w:r>
      <w:r w:rsidRPr="007C4D5D">
        <w:rPr>
          <w:rFonts w:ascii="Barlow" w:hAnsi="Barlow"/>
          <w:b/>
          <w:bCs/>
          <w:sz w:val="24"/>
        </w:rPr>
        <w:t xml:space="preserve"> 251</w:t>
      </w:r>
      <w:r w:rsidR="007C4D5D" w:rsidRPr="007C4D5D">
        <w:rPr>
          <w:rFonts w:ascii="Barlow" w:hAnsi="Barlow"/>
          <w:b/>
          <w:bCs/>
          <w:sz w:val="24"/>
        </w:rPr>
        <w:t>.</w:t>
      </w:r>
    </w:p>
    <w:p w14:paraId="5EC3906D"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U poglavlje 6. OPĆE MJERE ZA GOSPODARENJE OTPADOM, OPASNIM OTPADOM I POSEBNIM KATEGORIJAMA OTPADA izrađivač dokumenta na stranica popisuje mjere i nadovezuje se na članke Zakona koji će se pritom provoditi. Pritom su mjere navedene po brojevima nije jasno što se radi koje su aktivnosti propisne kroz mjere kao da se Županija nastoji uvjeriti da treba provoditi Zakon o gospodarenju otpadom! Slijedom navedenoga, ovakav pristup dovodi do zagušenja teksta normativnim i opisnim sadržajem, bez stvarne planske vrijednosti i bez mogućnosti praćenja učinkovitosti mjera. Mjere koje je Županija navela u Planu zapravo su iste mjere koje su ionako navedene u PGO RH, pri čemu </w:t>
      </w:r>
    </w:p>
    <w:p w14:paraId="0F888941" w14:textId="77777777" w:rsidR="0026428C" w:rsidRPr="00B303F3" w:rsidRDefault="0026428C" w:rsidP="00B303F3">
      <w:pPr>
        <w:spacing w:line="276" w:lineRule="auto"/>
        <w:jc w:val="both"/>
        <w:rPr>
          <w:rFonts w:ascii="Barlow" w:hAnsi="Barlow"/>
          <w:b/>
          <w:bCs/>
          <w:sz w:val="24"/>
        </w:rPr>
      </w:pPr>
      <w:r w:rsidRPr="00B303F3">
        <w:rPr>
          <w:rFonts w:ascii="Barlow" w:hAnsi="Barlow"/>
          <w:sz w:val="24"/>
        </w:rPr>
        <w:t xml:space="preserve">Mjera vezana  uz za ponovnu upotrebu svodi se na preporuku! Na stranici 181.  navedene samo JLS  koje provodile akcije prikupljanja rabljenih stvari, međutim nije čak niti napravljena provjera zainteresiranosti JLS-a kao što je to slučaj sa </w:t>
      </w:r>
      <w:proofErr w:type="spellStart"/>
      <w:r w:rsidRPr="00B303F3">
        <w:rPr>
          <w:rFonts w:ascii="Barlow" w:hAnsi="Barlow"/>
          <w:sz w:val="24"/>
        </w:rPr>
        <w:t>reciklažnim</w:t>
      </w:r>
      <w:proofErr w:type="spellEnd"/>
      <w:r w:rsidRPr="00B303F3">
        <w:rPr>
          <w:rFonts w:ascii="Barlow" w:hAnsi="Barlow"/>
          <w:sz w:val="24"/>
        </w:rPr>
        <w:t xml:space="preserve"> dvorištima, </w:t>
      </w:r>
      <w:proofErr w:type="spellStart"/>
      <w:r w:rsidRPr="00B303F3">
        <w:rPr>
          <w:rFonts w:ascii="Barlow" w:hAnsi="Barlow"/>
          <w:sz w:val="24"/>
        </w:rPr>
        <w:t>kompostanam</w:t>
      </w:r>
      <w:proofErr w:type="spellEnd"/>
      <w:r w:rsidRPr="00B303F3">
        <w:rPr>
          <w:rFonts w:ascii="Barlow" w:hAnsi="Barlow"/>
          <w:sz w:val="24"/>
        </w:rPr>
        <w:t xml:space="preserve"> </w:t>
      </w:r>
      <w:r w:rsidRPr="00B303F3">
        <w:rPr>
          <w:rFonts w:ascii="Barlow" w:hAnsi="Barlow"/>
          <w:sz w:val="24"/>
        </w:rPr>
        <w:lastRenderedPageBreak/>
        <w:t xml:space="preserve">i </w:t>
      </w:r>
      <w:proofErr w:type="spellStart"/>
      <w:r w:rsidRPr="00B303F3">
        <w:rPr>
          <w:rFonts w:ascii="Barlow" w:hAnsi="Barlow"/>
          <w:sz w:val="24"/>
        </w:rPr>
        <w:t>sortirnicama</w:t>
      </w:r>
      <w:proofErr w:type="spellEnd"/>
      <w:r w:rsidRPr="00B303F3">
        <w:rPr>
          <w:rFonts w:ascii="Barlow" w:hAnsi="Barlow"/>
          <w:sz w:val="24"/>
        </w:rPr>
        <w:t xml:space="preserve">. Nadalje u Planu se kao mjera navodi </w:t>
      </w:r>
      <w:r w:rsidRPr="00B303F3">
        <w:rPr>
          <w:rFonts w:ascii="Barlow" w:hAnsi="Barlow"/>
          <w:b/>
          <w:bCs/>
          <w:sz w:val="24"/>
        </w:rPr>
        <w:t xml:space="preserve">Mjera 8. PGO SDŽ </w:t>
      </w:r>
      <w:r w:rsidRPr="00B303F3">
        <w:rPr>
          <w:rFonts w:ascii="Barlow" w:hAnsi="Barlow"/>
          <w:sz w:val="24"/>
        </w:rPr>
        <w:t xml:space="preserve"> </w:t>
      </w:r>
      <w:r w:rsidRPr="00B303F3">
        <w:rPr>
          <w:rFonts w:ascii="Barlow" w:hAnsi="Barlow"/>
          <w:b/>
          <w:bCs/>
          <w:sz w:val="24"/>
        </w:rPr>
        <w:t>Preporuka je za JLS koje imaju u planu uspostavu centara za ponovnu uporabu razmotriti i izabrati lokacije za izgradnju centara za ponovnu uporabu te za iste ishoditi potrebnu dokumentaciju</w:t>
      </w:r>
      <w:r w:rsidRPr="00B303F3">
        <w:rPr>
          <w:rFonts w:ascii="Barlow" w:hAnsi="Barlow"/>
          <w:sz w:val="24"/>
        </w:rPr>
        <w:t>.</w:t>
      </w:r>
      <w:r w:rsidRPr="00B303F3">
        <w:rPr>
          <w:rFonts w:ascii="Barlow" w:hAnsi="Barlow"/>
          <w:b/>
          <w:bCs/>
          <w:sz w:val="24"/>
        </w:rPr>
        <w:t xml:space="preserve"> </w:t>
      </w:r>
    </w:p>
    <w:p w14:paraId="04064C6C" w14:textId="77777777" w:rsidR="0026428C" w:rsidRPr="00B303F3" w:rsidRDefault="0026428C" w:rsidP="00B303F3">
      <w:pPr>
        <w:spacing w:line="276" w:lineRule="auto"/>
        <w:jc w:val="both"/>
        <w:rPr>
          <w:rFonts w:ascii="Barlow" w:hAnsi="Barlow"/>
          <w:sz w:val="24"/>
        </w:rPr>
      </w:pPr>
      <w:r w:rsidRPr="00B303F3">
        <w:rPr>
          <w:rFonts w:ascii="Barlow" w:hAnsi="Barlow"/>
          <w:sz w:val="24"/>
        </w:rPr>
        <w:t>Nadalje, predlaže se</w:t>
      </w:r>
      <w:r w:rsidRPr="00B303F3">
        <w:rPr>
          <w:rFonts w:ascii="Barlow" w:hAnsi="Barlow"/>
          <w:b/>
          <w:bCs/>
          <w:sz w:val="24"/>
        </w:rPr>
        <w:t xml:space="preserve"> revidirati sve predviđene mjere i aktivnosti</w:t>
      </w:r>
      <w:r w:rsidRPr="00B303F3">
        <w:rPr>
          <w:rFonts w:ascii="Barlow" w:hAnsi="Barlow"/>
          <w:sz w:val="24"/>
        </w:rPr>
        <w:t xml:space="preserve"> te značajno skratiti normativni dio teksta te Plan usmjeriti na županijski kontekst i identifikaciju stvarno potrebnih konkretnih mjera i aktivnosti za unaprjeđenje sustava gospodarenja otpadom u SDŽ. </w:t>
      </w:r>
    </w:p>
    <w:p w14:paraId="00AE7B7E" w14:textId="044CF22B" w:rsidR="0026428C" w:rsidRPr="00C5700E" w:rsidRDefault="0026428C" w:rsidP="00B303F3">
      <w:pPr>
        <w:spacing w:line="276" w:lineRule="auto"/>
        <w:rPr>
          <w:rFonts w:ascii="Barlow" w:hAnsi="Barlow"/>
          <w:b/>
          <w:bCs/>
          <w:sz w:val="24"/>
        </w:rPr>
      </w:pPr>
      <w:r w:rsidRPr="00C5700E">
        <w:rPr>
          <w:rFonts w:ascii="Barlow" w:hAnsi="Barlow"/>
          <w:b/>
          <w:bCs/>
          <w:sz w:val="24"/>
        </w:rPr>
        <w:t>Strana 242</w:t>
      </w:r>
      <w:r w:rsidR="00C5700E" w:rsidRPr="00C5700E">
        <w:rPr>
          <w:rFonts w:ascii="Barlow" w:hAnsi="Barlow"/>
          <w:b/>
          <w:bCs/>
          <w:sz w:val="24"/>
        </w:rPr>
        <w:t>.</w:t>
      </w:r>
    </w:p>
    <w:p w14:paraId="40C4435A"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U dijelu Plana </w:t>
      </w:r>
      <w:r w:rsidRPr="00B303F3">
        <w:rPr>
          <w:rFonts w:ascii="Barlow" w:hAnsi="Barlow"/>
          <w:b/>
          <w:bCs/>
          <w:sz w:val="24"/>
        </w:rPr>
        <w:t>Otpad s brodova</w:t>
      </w:r>
      <w:r w:rsidRPr="00B303F3">
        <w:rPr>
          <w:rFonts w:ascii="Barlow" w:hAnsi="Barlow"/>
          <w:sz w:val="24"/>
        </w:rPr>
        <w:t xml:space="preserve"> - u znatnoj se mjeri reproduciraju odredbe Pomorskog zakonika, MARPOL Konvencije i povezanih propisa, kao i detaljni opis infrastrukture na pojedinim iskrcajnim mjestima. Iako su navedeni propisi i opisi točni, Plan pritom ne donosi analizu stvarne provedbe propisanih obveza niti raspolaže pouzdanim i sustavno prikupljenim podacima o vrstama i količinama otpada zaprimljenog u lukama na području Splitsko-dalmatinske županije, unatoč postojećim obvezama izvješćivanja.</w:t>
      </w:r>
    </w:p>
    <w:p w14:paraId="44589E7A" w14:textId="77777777" w:rsidR="0026428C" w:rsidRPr="00B303F3" w:rsidRDefault="0026428C" w:rsidP="00B303F3">
      <w:pPr>
        <w:spacing w:line="276" w:lineRule="auto"/>
        <w:jc w:val="both"/>
        <w:rPr>
          <w:rFonts w:ascii="Barlow" w:hAnsi="Barlow"/>
          <w:sz w:val="24"/>
        </w:rPr>
      </w:pPr>
      <w:r w:rsidRPr="00B303F3">
        <w:rPr>
          <w:rFonts w:ascii="Barlow" w:hAnsi="Barlow"/>
          <w:sz w:val="24"/>
        </w:rPr>
        <w:t>Slijedom navedenoga, ovakav pristup dovodi do zagušenja teksta normativnim i opisnim sadržajem, bez stvarne planske vrijednosti i bez mogućnosti praćenja učinkovitosti mjera. Predlaže se značajno skratiti normativni dio teksta te Plan usmjeriti na županijski kontekst, identifikaciju stvarnih nedostataka u provedbi, uspostavu funkcionalnog sustava prikupljanja podataka i jasno definirane mjere za unapređenje sustava prihvata brodskog otpada.</w:t>
      </w:r>
    </w:p>
    <w:p w14:paraId="16C477E7" w14:textId="16F2FE51" w:rsidR="0026428C" w:rsidRPr="00C5700E" w:rsidRDefault="0026428C" w:rsidP="00B303F3">
      <w:pPr>
        <w:spacing w:line="276" w:lineRule="auto"/>
        <w:jc w:val="both"/>
        <w:rPr>
          <w:rFonts w:ascii="Barlow" w:hAnsi="Barlow"/>
          <w:b/>
          <w:bCs/>
          <w:sz w:val="24"/>
        </w:rPr>
      </w:pPr>
      <w:r w:rsidRPr="00C5700E">
        <w:rPr>
          <w:rFonts w:ascii="Barlow" w:hAnsi="Barlow"/>
          <w:b/>
          <w:bCs/>
          <w:sz w:val="24"/>
        </w:rPr>
        <w:t>Strana 259</w:t>
      </w:r>
      <w:r w:rsidR="00C5700E" w:rsidRPr="00C5700E">
        <w:rPr>
          <w:rFonts w:ascii="Barlow" w:hAnsi="Barlow"/>
          <w:b/>
          <w:bCs/>
          <w:sz w:val="24"/>
        </w:rPr>
        <w:t>.</w:t>
      </w:r>
    </w:p>
    <w:p w14:paraId="0A389AA2"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Tablica 8-1. Popis projekata na području SDŽ važnih za provedbu PGO SDŽ trebala bi sadržavati popis projekta Županije kao I JLS-a na području Županije, a kroz koje se financira provedba mjera i aktivnosti iz Plana. Ne vidimo razloga ponovno u tablici pospi projekata  navoditi već nekoliko puta navedene mjere i aktivnosti iz Plana, npr. Mjera 2. PGO SDŽ Izgradnja CGO </w:t>
      </w:r>
      <w:proofErr w:type="spellStart"/>
      <w:r w:rsidRPr="00B303F3">
        <w:rPr>
          <w:rFonts w:ascii="Barlow" w:hAnsi="Barlow"/>
          <w:sz w:val="24"/>
        </w:rPr>
        <w:t>Lećevica</w:t>
      </w:r>
      <w:proofErr w:type="spellEnd"/>
      <w:r w:rsidRPr="00B303F3">
        <w:rPr>
          <w:rFonts w:ascii="Barlow" w:hAnsi="Barlow"/>
          <w:sz w:val="24"/>
        </w:rPr>
        <w:t xml:space="preserve"> je ovdje navedena kao projekt. </w:t>
      </w:r>
    </w:p>
    <w:p w14:paraId="3890F7CB" w14:textId="77777777" w:rsidR="0026428C" w:rsidRPr="00B303F3" w:rsidRDefault="0026428C" w:rsidP="00B303F3">
      <w:pPr>
        <w:spacing w:line="276" w:lineRule="auto"/>
        <w:jc w:val="both"/>
        <w:rPr>
          <w:rFonts w:ascii="Barlow" w:hAnsi="Barlow"/>
          <w:sz w:val="24"/>
        </w:rPr>
      </w:pPr>
    </w:p>
    <w:p w14:paraId="2C7EF067" w14:textId="2FE5DDAB" w:rsidR="0026428C" w:rsidRPr="00C5700E" w:rsidRDefault="0026428C" w:rsidP="00B303F3">
      <w:pPr>
        <w:spacing w:line="276" w:lineRule="auto"/>
        <w:jc w:val="both"/>
        <w:rPr>
          <w:rFonts w:ascii="Barlow" w:hAnsi="Barlow"/>
          <w:b/>
          <w:bCs/>
          <w:sz w:val="24"/>
        </w:rPr>
      </w:pPr>
      <w:r w:rsidRPr="00C5700E">
        <w:rPr>
          <w:rFonts w:ascii="Barlow" w:hAnsi="Barlow"/>
          <w:b/>
          <w:bCs/>
          <w:sz w:val="24"/>
        </w:rPr>
        <w:t>Strana 268</w:t>
      </w:r>
      <w:r w:rsidR="00C5700E" w:rsidRPr="00C5700E">
        <w:rPr>
          <w:rFonts w:ascii="Barlow" w:hAnsi="Barlow"/>
          <w:b/>
          <w:bCs/>
          <w:sz w:val="24"/>
        </w:rPr>
        <w:t>.</w:t>
      </w:r>
      <w:r w:rsidR="00C5700E">
        <w:rPr>
          <w:rFonts w:ascii="Barlow" w:hAnsi="Barlow"/>
          <w:b/>
          <w:bCs/>
          <w:sz w:val="24"/>
        </w:rPr>
        <w:t xml:space="preserve"> i dalje</w:t>
      </w:r>
    </w:p>
    <w:p w14:paraId="1CD9681A"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Uz sve već navedene prijedloge za dodatne mjere kroz gornje komentare predlažemo i sljedeće: </w:t>
      </w:r>
    </w:p>
    <w:p w14:paraId="5B7B6843"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Vezano uz aktivnosti predviđene za ostvarivanje Mjere za ostvarenje Cilja 12. – Unaprijediti informacijski sustav i praćenje gospodarenja otpadom smatramo kako je potrebno unaprijediti praćenje ilegalnog spaljivanja otpada kako na odlagalištima tako neovlašteno od strane fizičkih osoba, te je u tom kontekstu potrebno predvidjeti aktivnosti. </w:t>
      </w:r>
    </w:p>
    <w:p w14:paraId="285BC2BC"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U okviru Mjera 1. Unaprjeđenje sustava za odvojeno sakupljanje komunalnog otpada i infrastrukture (kapaciteta i tehnologije) za recikliranje i druge postupke oporabe komunalnog otpada predlažemo aktivnost poticanja  kompostiranje putem </w:t>
      </w:r>
      <w:proofErr w:type="spellStart"/>
      <w:r w:rsidRPr="00B303F3">
        <w:rPr>
          <w:rFonts w:ascii="Barlow" w:hAnsi="Barlow"/>
          <w:sz w:val="24"/>
        </w:rPr>
        <w:t>kompostera</w:t>
      </w:r>
      <w:proofErr w:type="spellEnd"/>
      <w:r w:rsidRPr="00B303F3">
        <w:rPr>
          <w:rFonts w:ascii="Barlow" w:hAnsi="Barlow"/>
          <w:sz w:val="24"/>
        </w:rPr>
        <w:t xml:space="preserve"> namijenjenih </w:t>
      </w:r>
      <w:r w:rsidRPr="00B303F3">
        <w:rPr>
          <w:rFonts w:ascii="Barlow" w:hAnsi="Barlow"/>
          <w:sz w:val="24"/>
        </w:rPr>
        <w:lastRenderedPageBreak/>
        <w:t xml:space="preserve">restoranima, menzama, hotelima, odgojno-obrazovnim ustanovama i sl. U slučaju postavljanja </w:t>
      </w:r>
      <w:proofErr w:type="spellStart"/>
      <w:r w:rsidRPr="00B303F3">
        <w:rPr>
          <w:rFonts w:ascii="Barlow" w:hAnsi="Barlow"/>
          <w:sz w:val="24"/>
        </w:rPr>
        <w:t>kompostera</w:t>
      </w:r>
      <w:proofErr w:type="spellEnd"/>
      <w:r w:rsidRPr="00B303F3">
        <w:rPr>
          <w:rFonts w:ascii="Barlow" w:hAnsi="Barlow"/>
          <w:sz w:val="24"/>
        </w:rPr>
        <w:t xml:space="preserve"> u odgojno-obrazovne institucije te odvojenog prikupljanja biootpada i otpada od hrane isti imaju i edukativnu ulogu. </w:t>
      </w:r>
    </w:p>
    <w:p w14:paraId="634A6B74" w14:textId="3B9A2493" w:rsidR="0026428C" w:rsidRPr="00B303F3" w:rsidRDefault="0026428C" w:rsidP="00B303F3">
      <w:pPr>
        <w:spacing w:line="276" w:lineRule="auto"/>
        <w:jc w:val="both"/>
        <w:rPr>
          <w:rFonts w:ascii="Barlow" w:hAnsi="Barlow"/>
          <w:sz w:val="24"/>
        </w:rPr>
      </w:pPr>
      <w:r w:rsidRPr="00B303F3">
        <w:rPr>
          <w:rFonts w:ascii="Barlow" w:hAnsi="Barlow"/>
          <w:sz w:val="24"/>
        </w:rPr>
        <w:t xml:space="preserve">U okviru mjere Mjera 7. Unaprjeđenje sustava za gospodarenje otpadnom ambalažom i uspostava sustava za gospodarenje otpadnim plastičnim proizvodima za jednokratnu uporabu i ribolovnim alatima koji sadrže plastiku, smatramo kako je predviđena </w:t>
      </w:r>
      <w:r w:rsidRPr="00B303F3">
        <w:rPr>
          <w:rFonts w:ascii="Barlow" w:hAnsi="Barlow"/>
          <w:i/>
          <w:iCs/>
          <w:sz w:val="24"/>
        </w:rPr>
        <w:t>aktivnost 7.2. Priprema i provedba pilot-projekata gospodarenje otpadom od cigaretnih filtera</w:t>
      </w:r>
      <w:r w:rsidRPr="00B303F3">
        <w:rPr>
          <w:rFonts w:ascii="Barlow" w:hAnsi="Barlow"/>
          <w:sz w:val="24"/>
        </w:rPr>
        <w:t xml:space="preserve"> nedovoljna. Predlažemo sljedeće aktivnosti: poticanje korištenja zamjenskih višekratnih proizvoda i uspostavu procesa kroz koje će se isti koristiti (primjerice zamjena jednokratnih kašeta za ribu višekratnim rješenjima, zamjena jednokratne ambalaže na javnim događanjima višekratnom i sl.). Nadalje, predlažemo aktivnost  uvođenja obveze za JLS da na javnim događanjima na području JLS koriste isključivo višekratn</w:t>
      </w:r>
      <w:r w:rsidR="00006951">
        <w:rPr>
          <w:rFonts w:ascii="Barlow" w:hAnsi="Barlow"/>
          <w:sz w:val="24"/>
        </w:rPr>
        <w:t>u</w:t>
      </w:r>
      <w:r w:rsidRPr="00B303F3">
        <w:rPr>
          <w:rFonts w:ascii="Barlow" w:hAnsi="Barlow"/>
          <w:sz w:val="24"/>
        </w:rPr>
        <w:t xml:space="preserve"> ambalažu. </w:t>
      </w:r>
    </w:p>
    <w:p w14:paraId="39093415" w14:textId="2075C523" w:rsidR="0026428C" w:rsidRPr="00C5700E" w:rsidRDefault="0026428C" w:rsidP="00B303F3">
      <w:pPr>
        <w:spacing w:line="276" w:lineRule="auto"/>
        <w:jc w:val="both"/>
        <w:rPr>
          <w:rFonts w:ascii="Barlow" w:hAnsi="Barlow"/>
          <w:b/>
          <w:bCs/>
          <w:sz w:val="24"/>
        </w:rPr>
      </w:pPr>
      <w:r w:rsidRPr="00C5700E">
        <w:rPr>
          <w:rFonts w:ascii="Barlow" w:hAnsi="Barlow"/>
          <w:b/>
          <w:bCs/>
          <w:sz w:val="24"/>
        </w:rPr>
        <w:t>Strana 273</w:t>
      </w:r>
      <w:r w:rsidR="00C5700E" w:rsidRPr="00C5700E">
        <w:rPr>
          <w:rFonts w:ascii="Barlow" w:hAnsi="Barlow"/>
          <w:b/>
          <w:bCs/>
          <w:sz w:val="24"/>
        </w:rPr>
        <w:t>.</w:t>
      </w:r>
    </w:p>
    <w:p w14:paraId="311FD588" w14:textId="77777777" w:rsidR="0026428C" w:rsidRPr="00B303F3" w:rsidRDefault="0026428C" w:rsidP="00B303F3">
      <w:pPr>
        <w:spacing w:line="276" w:lineRule="auto"/>
        <w:jc w:val="both"/>
        <w:rPr>
          <w:rFonts w:ascii="Barlow" w:hAnsi="Barlow"/>
          <w:sz w:val="24"/>
        </w:rPr>
      </w:pPr>
      <w:r w:rsidRPr="00B303F3">
        <w:rPr>
          <w:rFonts w:ascii="Barlow" w:hAnsi="Barlow"/>
          <w:sz w:val="24"/>
        </w:rPr>
        <w:t>Tablica 10-1. Mjere i preporuke PGO SDŽ za razdoblje 2024. – 2029. uz naznačene aktivnosti PGO RH 2023. – 2028. koje se njima provide</w:t>
      </w:r>
    </w:p>
    <w:p w14:paraId="2D4F9C52" w14:textId="77777777" w:rsidR="0026428C" w:rsidRPr="00B303F3" w:rsidRDefault="0026428C" w:rsidP="00B303F3">
      <w:pPr>
        <w:spacing w:line="276" w:lineRule="auto"/>
        <w:jc w:val="both"/>
        <w:rPr>
          <w:rFonts w:ascii="Barlow" w:hAnsi="Barlow"/>
          <w:sz w:val="24"/>
        </w:rPr>
      </w:pPr>
      <w:r w:rsidRPr="00B303F3">
        <w:rPr>
          <w:rFonts w:ascii="Barlow" w:hAnsi="Barlow"/>
          <w:sz w:val="24"/>
        </w:rPr>
        <w:t xml:space="preserve">Plan SDŽ trebao bi sadržavati mjere i aktivnosti, a ne preporuke, tom smislu tablicu je potrebno kompletno revidirati u donijeti odluke što će se u Županiji provoditi. Nakon desetljeća ne sustavnog gospodarenja otpadom, izbjegavana provođenja prioriteta u gospodarenju otpadom na razini JLS i Županije, ovo predstavlja županijski prioritet. </w:t>
      </w:r>
    </w:p>
    <w:p w14:paraId="622CCE6D" w14:textId="77777777" w:rsidR="0026428C" w:rsidRPr="00B303F3" w:rsidRDefault="0026428C" w:rsidP="00B303F3">
      <w:pPr>
        <w:spacing w:line="276" w:lineRule="auto"/>
        <w:jc w:val="both"/>
        <w:rPr>
          <w:rFonts w:ascii="Barlow" w:hAnsi="Barlow"/>
          <w:sz w:val="24"/>
        </w:rPr>
      </w:pPr>
    </w:p>
    <w:p w14:paraId="452D5DD5" w14:textId="48FFB8FC" w:rsidR="002C5E47" w:rsidRPr="00B303F3" w:rsidRDefault="002C5E47" w:rsidP="008336CC">
      <w:pPr>
        <w:spacing w:line="276" w:lineRule="auto"/>
        <w:rPr>
          <w:rFonts w:ascii="Barlow" w:hAnsi="Barlow"/>
          <w:sz w:val="24"/>
        </w:rPr>
      </w:pPr>
    </w:p>
    <w:sectPr w:rsidR="002C5E47" w:rsidRPr="00B303F3" w:rsidSect="004D1CAB">
      <w:headerReference w:type="default" r:id="rId10"/>
      <w:pgSz w:w="11900" w:h="16840"/>
      <w:pgMar w:top="226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812B" w14:textId="77777777" w:rsidR="00087C12" w:rsidRDefault="00087C12" w:rsidP="004D11E6">
      <w:pPr>
        <w:spacing w:after="0" w:line="240" w:lineRule="auto"/>
      </w:pPr>
      <w:r>
        <w:separator/>
      </w:r>
    </w:p>
  </w:endnote>
  <w:endnote w:type="continuationSeparator" w:id="0">
    <w:p w14:paraId="1EA7B9CC" w14:textId="77777777" w:rsidR="00087C12" w:rsidRDefault="00087C12" w:rsidP="004D1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low">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10E3" w14:textId="77777777" w:rsidR="00087C12" w:rsidRDefault="00087C12" w:rsidP="004D11E6">
      <w:pPr>
        <w:spacing w:after="0" w:line="240" w:lineRule="auto"/>
      </w:pPr>
      <w:r>
        <w:separator/>
      </w:r>
    </w:p>
  </w:footnote>
  <w:footnote w:type="continuationSeparator" w:id="0">
    <w:p w14:paraId="63C040B0" w14:textId="77777777" w:rsidR="00087C12" w:rsidRDefault="00087C12" w:rsidP="004D1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2877" w14:textId="77777777" w:rsidR="004D11E6" w:rsidRDefault="0060322A">
    <w:pPr>
      <w:pStyle w:val="Zaglavlje"/>
    </w:pPr>
    <w:r>
      <w:rPr>
        <w:noProof/>
      </w:rPr>
      <w:drawing>
        <wp:anchor distT="0" distB="0" distL="114300" distR="114300" simplePos="0" relativeHeight="251658240" behindDoc="1" locked="0" layoutInCell="1" allowOverlap="1" wp14:anchorId="2ACC2878" wp14:editId="2ACC2879">
          <wp:simplePos x="0" y="0"/>
          <wp:positionH relativeFrom="column">
            <wp:posOffset>-724535</wp:posOffset>
          </wp:positionH>
          <wp:positionV relativeFrom="paragraph">
            <wp:posOffset>-441435</wp:posOffset>
          </wp:positionV>
          <wp:extent cx="7560000" cy="1070444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o_h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7044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9ED18E"/>
    <w:lvl w:ilvl="0">
      <w:start w:val="1"/>
      <w:numFmt w:val="bullet"/>
      <w:pStyle w:val="Grafikeoznake"/>
      <w:lvlText w:val=""/>
      <w:lvlJc w:val="left"/>
      <w:pPr>
        <w:ind w:left="567" w:hanging="283"/>
      </w:pPr>
      <w:rPr>
        <w:rFonts w:ascii="Wingdings" w:hAnsi="Wingdings" w:hint="default"/>
        <w:color w:val="auto"/>
      </w:rPr>
    </w:lvl>
  </w:abstractNum>
  <w:abstractNum w:abstractNumId="1" w15:restartNumberingAfterBreak="0">
    <w:nsid w:val="53A22F5D"/>
    <w:multiLevelType w:val="hybridMultilevel"/>
    <w:tmpl w:val="5C54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2D8E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90389171">
    <w:abstractNumId w:val="0"/>
  </w:num>
  <w:num w:numId="2" w16cid:durableId="170947510">
    <w:abstractNumId w:val="2"/>
  </w:num>
  <w:num w:numId="3" w16cid:durableId="56946510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E6"/>
    <w:rsid w:val="00000554"/>
    <w:rsid w:val="00004EFD"/>
    <w:rsid w:val="0000561F"/>
    <w:rsid w:val="0000636F"/>
    <w:rsid w:val="00006951"/>
    <w:rsid w:val="00015009"/>
    <w:rsid w:val="00016AF0"/>
    <w:rsid w:val="00017191"/>
    <w:rsid w:val="00021AD4"/>
    <w:rsid w:val="0002455E"/>
    <w:rsid w:val="000334D4"/>
    <w:rsid w:val="0003745E"/>
    <w:rsid w:val="0004051F"/>
    <w:rsid w:val="00044DD1"/>
    <w:rsid w:val="000531D0"/>
    <w:rsid w:val="00062749"/>
    <w:rsid w:val="00062F29"/>
    <w:rsid w:val="00066E37"/>
    <w:rsid w:val="000720BF"/>
    <w:rsid w:val="0007320C"/>
    <w:rsid w:val="00074985"/>
    <w:rsid w:val="0007733A"/>
    <w:rsid w:val="00082BD9"/>
    <w:rsid w:val="00082FC7"/>
    <w:rsid w:val="000868FF"/>
    <w:rsid w:val="00087C12"/>
    <w:rsid w:val="00090F6C"/>
    <w:rsid w:val="000915A7"/>
    <w:rsid w:val="00093A0C"/>
    <w:rsid w:val="000A25A2"/>
    <w:rsid w:val="000A6718"/>
    <w:rsid w:val="000B3C04"/>
    <w:rsid w:val="000B56E8"/>
    <w:rsid w:val="000B5EA2"/>
    <w:rsid w:val="000B702E"/>
    <w:rsid w:val="000B7376"/>
    <w:rsid w:val="000C0B91"/>
    <w:rsid w:val="000C1C7D"/>
    <w:rsid w:val="000C5072"/>
    <w:rsid w:val="000C66B1"/>
    <w:rsid w:val="000D3792"/>
    <w:rsid w:val="000E0257"/>
    <w:rsid w:val="000E381E"/>
    <w:rsid w:val="000E3A83"/>
    <w:rsid w:val="000E3EAB"/>
    <w:rsid w:val="000E4DB3"/>
    <w:rsid w:val="000F385C"/>
    <w:rsid w:val="000F5385"/>
    <w:rsid w:val="001007B6"/>
    <w:rsid w:val="00106423"/>
    <w:rsid w:val="00107BAD"/>
    <w:rsid w:val="00110945"/>
    <w:rsid w:val="00111618"/>
    <w:rsid w:val="00114D19"/>
    <w:rsid w:val="0012307F"/>
    <w:rsid w:val="001238D2"/>
    <w:rsid w:val="0012641C"/>
    <w:rsid w:val="001271E3"/>
    <w:rsid w:val="00132F98"/>
    <w:rsid w:val="00133AE9"/>
    <w:rsid w:val="00135426"/>
    <w:rsid w:val="00141D5A"/>
    <w:rsid w:val="0014295F"/>
    <w:rsid w:val="001430CB"/>
    <w:rsid w:val="001475EB"/>
    <w:rsid w:val="00155131"/>
    <w:rsid w:val="00163725"/>
    <w:rsid w:val="001638E4"/>
    <w:rsid w:val="0017059E"/>
    <w:rsid w:val="00171C65"/>
    <w:rsid w:val="001773C5"/>
    <w:rsid w:val="001839FD"/>
    <w:rsid w:val="00184A9C"/>
    <w:rsid w:val="00193C69"/>
    <w:rsid w:val="001953B5"/>
    <w:rsid w:val="00195FC2"/>
    <w:rsid w:val="001A0CB7"/>
    <w:rsid w:val="001A23F7"/>
    <w:rsid w:val="001B0F3B"/>
    <w:rsid w:val="001B3D1C"/>
    <w:rsid w:val="001B5D92"/>
    <w:rsid w:val="001B7D6E"/>
    <w:rsid w:val="001D455B"/>
    <w:rsid w:val="001E1C9A"/>
    <w:rsid w:val="001E3BE5"/>
    <w:rsid w:val="00210176"/>
    <w:rsid w:val="00211720"/>
    <w:rsid w:val="00212250"/>
    <w:rsid w:val="00213050"/>
    <w:rsid w:val="00214399"/>
    <w:rsid w:val="00232EA0"/>
    <w:rsid w:val="002353C5"/>
    <w:rsid w:val="00236461"/>
    <w:rsid w:val="00237D97"/>
    <w:rsid w:val="00237F87"/>
    <w:rsid w:val="00240ADE"/>
    <w:rsid w:val="00242221"/>
    <w:rsid w:val="002425D5"/>
    <w:rsid w:val="00247C2E"/>
    <w:rsid w:val="002508BC"/>
    <w:rsid w:val="00251881"/>
    <w:rsid w:val="00252A33"/>
    <w:rsid w:val="0025446B"/>
    <w:rsid w:val="00256E7A"/>
    <w:rsid w:val="0026428C"/>
    <w:rsid w:val="00267AC5"/>
    <w:rsid w:val="00271F51"/>
    <w:rsid w:val="002721C7"/>
    <w:rsid w:val="00272B02"/>
    <w:rsid w:val="00276CB3"/>
    <w:rsid w:val="002776E3"/>
    <w:rsid w:val="00277F07"/>
    <w:rsid w:val="0028078C"/>
    <w:rsid w:val="00281825"/>
    <w:rsid w:val="002848B4"/>
    <w:rsid w:val="00292238"/>
    <w:rsid w:val="0029444D"/>
    <w:rsid w:val="00296A8F"/>
    <w:rsid w:val="00296B6B"/>
    <w:rsid w:val="002A40D7"/>
    <w:rsid w:val="002B0261"/>
    <w:rsid w:val="002B39D6"/>
    <w:rsid w:val="002C1E30"/>
    <w:rsid w:val="002C5B04"/>
    <w:rsid w:val="002C5E47"/>
    <w:rsid w:val="002C66F9"/>
    <w:rsid w:val="002D1B38"/>
    <w:rsid w:val="002D2071"/>
    <w:rsid w:val="002D5CF0"/>
    <w:rsid w:val="002E0CBE"/>
    <w:rsid w:val="002E1A6D"/>
    <w:rsid w:val="002E6331"/>
    <w:rsid w:val="002F19B7"/>
    <w:rsid w:val="002F7D56"/>
    <w:rsid w:val="00300A99"/>
    <w:rsid w:val="00302676"/>
    <w:rsid w:val="00307EF9"/>
    <w:rsid w:val="00313A1E"/>
    <w:rsid w:val="00315375"/>
    <w:rsid w:val="00315E76"/>
    <w:rsid w:val="003214B3"/>
    <w:rsid w:val="00321EE6"/>
    <w:rsid w:val="003248EB"/>
    <w:rsid w:val="0032671A"/>
    <w:rsid w:val="00330A89"/>
    <w:rsid w:val="00331E59"/>
    <w:rsid w:val="00332644"/>
    <w:rsid w:val="003343CD"/>
    <w:rsid w:val="0033552D"/>
    <w:rsid w:val="00341B0F"/>
    <w:rsid w:val="003443DC"/>
    <w:rsid w:val="00345794"/>
    <w:rsid w:val="00347BDC"/>
    <w:rsid w:val="00351B77"/>
    <w:rsid w:val="0037050D"/>
    <w:rsid w:val="00376B94"/>
    <w:rsid w:val="00380065"/>
    <w:rsid w:val="00391692"/>
    <w:rsid w:val="003935E4"/>
    <w:rsid w:val="00396B6E"/>
    <w:rsid w:val="003A48FD"/>
    <w:rsid w:val="003A6426"/>
    <w:rsid w:val="003B0010"/>
    <w:rsid w:val="003B17B9"/>
    <w:rsid w:val="003B5043"/>
    <w:rsid w:val="003B697C"/>
    <w:rsid w:val="003B7256"/>
    <w:rsid w:val="003C4C6E"/>
    <w:rsid w:val="003C62C7"/>
    <w:rsid w:val="003D0273"/>
    <w:rsid w:val="003D0D69"/>
    <w:rsid w:val="003D31DB"/>
    <w:rsid w:val="003D4EFF"/>
    <w:rsid w:val="003D6ED4"/>
    <w:rsid w:val="003D721F"/>
    <w:rsid w:val="003E1A07"/>
    <w:rsid w:val="003E53E7"/>
    <w:rsid w:val="003E5E5F"/>
    <w:rsid w:val="003F3CCE"/>
    <w:rsid w:val="003F4909"/>
    <w:rsid w:val="00402628"/>
    <w:rsid w:val="004067C6"/>
    <w:rsid w:val="00415D00"/>
    <w:rsid w:val="00422508"/>
    <w:rsid w:val="004231A1"/>
    <w:rsid w:val="00423E47"/>
    <w:rsid w:val="0042436E"/>
    <w:rsid w:val="00424812"/>
    <w:rsid w:val="00426ACF"/>
    <w:rsid w:val="004303DE"/>
    <w:rsid w:val="00431BEF"/>
    <w:rsid w:val="00445E25"/>
    <w:rsid w:val="00446E1F"/>
    <w:rsid w:val="0044756A"/>
    <w:rsid w:val="004536C4"/>
    <w:rsid w:val="00456618"/>
    <w:rsid w:val="00456A8B"/>
    <w:rsid w:val="004655C0"/>
    <w:rsid w:val="00466B54"/>
    <w:rsid w:val="00466C1E"/>
    <w:rsid w:val="00472C75"/>
    <w:rsid w:val="0047422F"/>
    <w:rsid w:val="0047642D"/>
    <w:rsid w:val="004849B2"/>
    <w:rsid w:val="004946D9"/>
    <w:rsid w:val="00495264"/>
    <w:rsid w:val="004976BA"/>
    <w:rsid w:val="004A24F5"/>
    <w:rsid w:val="004A3AF1"/>
    <w:rsid w:val="004B4051"/>
    <w:rsid w:val="004B47CB"/>
    <w:rsid w:val="004B5C42"/>
    <w:rsid w:val="004C360E"/>
    <w:rsid w:val="004C7E5F"/>
    <w:rsid w:val="004D11E6"/>
    <w:rsid w:val="004D18C5"/>
    <w:rsid w:val="004D1CAB"/>
    <w:rsid w:val="004D3E72"/>
    <w:rsid w:val="004D5E00"/>
    <w:rsid w:val="004D66BA"/>
    <w:rsid w:val="004E0E76"/>
    <w:rsid w:val="004E56DE"/>
    <w:rsid w:val="004E5A15"/>
    <w:rsid w:val="004F2BD2"/>
    <w:rsid w:val="004F74C6"/>
    <w:rsid w:val="00503B43"/>
    <w:rsid w:val="00507652"/>
    <w:rsid w:val="00507EB0"/>
    <w:rsid w:val="00515ABC"/>
    <w:rsid w:val="005214B4"/>
    <w:rsid w:val="00526963"/>
    <w:rsid w:val="00530E29"/>
    <w:rsid w:val="00533A96"/>
    <w:rsid w:val="00534858"/>
    <w:rsid w:val="005375B1"/>
    <w:rsid w:val="00540183"/>
    <w:rsid w:val="00541DA4"/>
    <w:rsid w:val="00545AD0"/>
    <w:rsid w:val="005470CA"/>
    <w:rsid w:val="00547353"/>
    <w:rsid w:val="00552194"/>
    <w:rsid w:val="00554AC1"/>
    <w:rsid w:val="005572A7"/>
    <w:rsid w:val="00560DF2"/>
    <w:rsid w:val="005643C9"/>
    <w:rsid w:val="00570F14"/>
    <w:rsid w:val="005752DF"/>
    <w:rsid w:val="00575781"/>
    <w:rsid w:val="0059036F"/>
    <w:rsid w:val="005A32A6"/>
    <w:rsid w:val="005A7991"/>
    <w:rsid w:val="005B183D"/>
    <w:rsid w:val="005B2BA4"/>
    <w:rsid w:val="005B7165"/>
    <w:rsid w:val="005C0314"/>
    <w:rsid w:val="005C15AA"/>
    <w:rsid w:val="005C3DBD"/>
    <w:rsid w:val="005D4EC2"/>
    <w:rsid w:val="005D53F2"/>
    <w:rsid w:val="005E01B2"/>
    <w:rsid w:val="005E1CCA"/>
    <w:rsid w:val="005E200A"/>
    <w:rsid w:val="005E6048"/>
    <w:rsid w:val="005F3532"/>
    <w:rsid w:val="005F4D54"/>
    <w:rsid w:val="005F740D"/>
    <w:rsid w:val="005F7873"/>
    <w:rsid w:val="00602D83"/>
    <w:rsid w:val="0060322A"/>
    <w:rsid w:val="006050FC"/>
    <w:rsid w:val="00606FA5"/>
    <w:rsid w:val="0061032D"/>
    <w:rsid w:val="00610EE7"/>
    <w:rsid w:val="00611C9D"/>
    <w:rsid w:val="00614808"/>
    <w:rsid w:val="006322A4"/>
    <w:rsid w:val="00633B51"/>
    <w:rsid w:val="00633D7A"/>
    <w:rsid w:val="00643F11"/>
    <w:rsid w:val="006503D3"/>
    <w:rsid w:val="006640C7"/>
    <w:rsid w:val="00664125"/>
    <w:rsid w:val="00665EAF"/>
    <w:rsid w:val="00675BE1"/>
    <w:rsid w:val="00681029"/>
    <w:rsid w:val="006850ED"/>
    <w:rsid w:val="00686C56"/>
    <w:rsid w:val="006902D3"/>
    <w:rsid w:val="00693F41"/>
    <w:rsid w:val="006970CA"/>
    <w:rsid w:val="006A1540"/>
    <w:rsid w:val="006A34B0"/>
    <w:rsid w:val="006C00FA"/>
    <w:rsid w:val="006C1735"/>
    <w:rsid w:val="006C4C76"/>
    <w:rsid w:val="006E5F14"/>
    <w:rsid w:val="006F0073"/>
    <w:rsid w:val="006F24E2"/>
    <w:rsid w:val="006F3327"/>
    <w:rsid w:val="006F57A0"/>
    <w:rsid w:val="00701FD1"/>
    <w:rsid w:val="007033A7"/>
    <w:rsid w:val="00706DD0"/>
    <w:rsid w:val="007116EB"/>
    <w:rsid w:val="00711D3C"/>
    <w:rsid w:val="007165BC"/>
    <w:rsid w:val="00720472"/>
    <w:rsid w:val="00726725"/>
    <w:rsid w:val="00727533"/>
    <w:rsid w:val="00730F69"/>
    <w:rsid w:val="00732865"/>
    <w:rsid w:val="00735080"/>
    <w:rsid w:val="00745F45"/>
    <w:rsid w:val="00745F4E"/>
    <w:rsid w:val="0075715B"/>
    <w:rsid w:val="00761575"/>
    <w:rsid w:val="00763091"/>
    <w:rsid w:val="00766DE8"/>
    <w:rsid w:val="0077011F"/>
    <w:rsid w:val="00777A9E"/>
    <w:rsid w:val="00781869"/>
    <w:rsid w:val="00791467"/>
    <w:rsid w:val="007A35F1"/>
    <w:rsid w:val="007A45D0"/>
    <w:rsid w:val="007B1170"/>
    <w:rsid w:val="007B1C5B"/>
    <w:rsid w:val="007B22FA"/>
    <w:rsid w:val="007B55D7"/>
    <w:rsid w:val="007C1ED7"/>
    <w:rsid w:val="007C456A"/>
    <w:rsid w:val="007C4D5D"/>
    <w:rsid w:val="007C56FA"/>
    <w:rsid w:val="007C78DB"/>
    <w:rsid w:val="007D0E05"/>
    <w:rsid w:val="007D3812"/>
    <w:rsid w:val="007D38F1"/>
    <w:rsid w:val="007F1797"/>
    <w:rsid w:val="007F1C24"/>
    <w:rsid w:val="007F6851"/>
    <w:rsid w:val="00805807"/>
    <w:rsid w:val="00805D23"/>
    <w:rsid w:val="00807692"/>
    <w:rsid w:val="0081077C"/>
    <w:rsid w:val="00824D2B"/>
    <w:rsid w:val="00831789"/>
    <w:rsid w:val="008336CC"/>
    <w:rsid w:val="00834B11"/>
    <w:rsid w:val="00841595"/>
    <w:rsid w:val="0084273B"/>
    <w:rsid w:val="00844BDE"/>
    <w:rsid w:val="00852471"/>
    <w:rsid w:val="00854F64"/>
    <w:rsid w:val="00856F53"/>
    <w:rsid w:val="00865DA6"/>
    <w:rsid w:val="00870440"/>
    <w:rsid w:val="00870F9B"/>
    <w:rsid w:val="0088031B"/>
    <w:rsid w:val="008902A0"/>
    <w:rsid w:val="00890C20"/>
    <w:rsid w:val="008A19C3"/>
    <w:rsid w:val="008A5116"/>
    <w:rsid w:val="008A742B"/>
    <w:rsid w:val="008B552C"/>
    <w:rsid w:val="008B66FE"/>
    <w:rsid w:val="008C5FEC"/>
    <w:rsid w:val="008C73CD"/>
    <w:rsid w:val="008D16D3"/>
    <w:rsid w:val="008D70E9"/>
    <w:rsid w:val="008E0C9B"/>
    <w:rsid w:val="008E6F5A"/>
    <w:rsid w:val="008F1CF2"/>
    <w:rsid w:val="008F4A26"/>
    <w:rsid w:val="008F5876"/>
    <w:rsid w:val="008F6F06"/>
    <w:rsid w:val="008F7C2E"/>
    <w:rsid w:val="00901493"/>
    <w:rsid w:val="009018A5"/>
    <w:rsid w:val="009040B8"/>
    <w:rsid w:val="009040E6"/>
    <w:rsid w:val="00923244"/>
    <w:rsid w:val="0093275D"/>
    <w:rsid w:val="00935FEF"/>
    <w:rsid w:val="00937704"/>
    <w:rsid w:val="0094069C"/>
    <w:rsid w:val="009441B5"/>
    <w:rsid w:val="00952B3D"/>
    <w:rsid w:val="00954774"/>
    <w:rsid w:val="00955CE3"/>
    <w:rsid w:val="0098674C"/>
    <w:rsid w:val="00986F33"/>
    <w:rsid w:val="0099304F"/>
    <w:rsid w:val="00993E97"/>
    <w:rsid w:val="009948EE"/>
    <w:rsid w:val="009A1C0F"/>
    <w:rsid w:val="009A3D2F"/>
    <w:rsid w:val="009A57F2"/>
    <w:rsid w:val="009C0C7F"/>
    <w:rsid w:val="009C46C9"/>
    <w:rsid w:val="009C6A7F"/>
    <w:rsid w:val="009D0645"/>
    <w:rsid w:val="009D28AD"/>
    <w:rsid w:val="009D42F7"/>
    <w:rsid w:val="009D5AF1"/>
    <w:rsid w:val="009D662F"/>
    <w:rsid w:val="009E1263"/>
    <w:rsid w:val="009E68F7"/>
    <w:rsid w:val="00A00919"/>
    <w:rsid w:val="00A05107"/>
    <w:rsid w:val="00A06BE4"/>
    <w:rsid w:val="00A07203"/>
    <w:rsid w:val="00A10513"/>
    <w:rsid w:val="00A15A0F"/>
    <w:rsid w:val="00A170E4"/>
    <w:rsid w:val="00A27188"/>
    <w:rsid w:val="00A3164C"/>
    <w:rsid w:val="00A37FE5"/>
    <w:rsid w:val="00A42627"/>
    <w:rsid w:val="00A4749B"/>
    <w:rsid w:val="00A52964"/>
    <w:rsid w:val="00A539A9"/>
    <w:rsid w:val="00A551D8"/>
    <w:rsid w:val="00A554BF"/>
    <w:rsid w:val="00A629B6"/>
    <w:rsid w:val="00A64A8E"/>
    <w:rsid w:val="00A664FA"/>
    <w:rsid w:val="00A66F31"/>
    <w:rsid w:val="00A673A7"/>
    <w:rsid w:val="00A72455"/>
    <w:rsid w:val="00A7498A"/>
    <w:rsid w:val="00A8000E"/>
    <w:rsid w:val="00A80B5C"/>
    <w:rsid w:val="00A845BD"/>
    <w:rsid w:val="00A853CF"/>
    <w:rsid w:val="00A87E31"/>
    <w:rsid w:val="00A9073F"/>
    <w:rsid w:val="00A945D6"/>
    <w:rsid w:val="00AA2C14"/>
    <w:rsid w:val="00AA3082"/>
    <w:rsid w:val="00AB4F22"/>
    <w:rsid w:val="00AB792C"/>
    <w:rsid w:val="00AB79F3"/>
    <w:rsid w:val="00AC0EEE"/>
    <w:rsid w:val="00AC1B1A"/>
    <w:rsid w:val="00AC4BE8"/>
    <w:rsid w:val="00AD4169"/>
    <w:rsid w:val="00AE01E0"/>
    <w:rsid w:val="00AE03FE"/>
    <w:rsid w:val="00AE0667"/>
    <w:rsid w:val="00AF1693"/>
    <w:rsid w:val="00AF27BD"/>
    <w:rsid w:val="00AF390C"/>
    <w:rsid w:val="00B03AA3"/>
    <w:rsid w:val="00B042BA"/>
    <w:rsid w:val="00B0657C"/>
    <w:rsid w:val="00B07BCD"/>
    <w:rsid w:val="00B10403"/>
    <w:rsid w:val="00B1320F"/>
    <w:rsid w:val="00B16A85"/>
    <w:rsid w:val="00B17321"/>
    <w:rsid w:val="00B22B53"/>
    <w:rsid w:val="00B259CF"/>
    <w:rsid w:val="00B26D97"/>
    <w:rsid w:val="00B27716"/>
    <w:rsid w:val="00B279A0"/>
    <w:rsid w:val="00B303F3"/>
    <w:rsid w:val="00B3099C"/>
    <w:rsid w:val="00B33840"/>
    <w:rsid w:val="00B37E37"/>
    <w:rsid w:val="00B43A78"/>
    <w:rsid w:val="00B510FD"/>
    <w:rsid w:val="00B5746C"/>
    <w:rsid w:val="00B64EA5"/>
    <w:rsid w:val="00B67B14"/>
    <w:rsid w:val="00B715F8"/>
    <w:rsid w:val="00B7391C"/>
    <w:rsid w:val="00B7556A"/>
    <w:rsid w:val="00B75BA6"/>
    <w:rsid w:val="00B766A6"/>
    <w:rsid w:val="00B811B3"/>
    <w:rsid w:val="00B91DAD"/>
    <w:rsid w:val="00B93E2A"/>
    <w:rsid w:val="00B96193"/>
    <w:rsid w:val="00B97C0D"/>
    <w:rsid w:val="00B97E97"/>
    <w:rsid w:val="00BA1B37"/>
    <w:rsid w:val="00BA23D5"/>
    <w:rsid w:val="00BA2781"/>
    <w:rsid w:val="00BA41CF"/>
    <w:rsid w:val="00BB1C36"/>
    <w:rsid w:val="00BB3183"/>
    <w:rsid w:val="00BB598C"/>
    <w:rsid w:val="00BC29EA"/>
    <w:rsid w:val="00BC3790"/>
    <w:rsid w:val="00BC4454"/>
    <w:rsid w:val="00BC5C53"/>
    <w:rsid w:val="00BD3DC7"/>
    <w:rsid w:val="00BE0EFA"/>
    <w:rsid w:val="00BE7FBB"/>
    <w:rsid w:val="00BF0305"/>
    <w:rsid w:val="00BF3A5D"/>
    <w:rsid w:val="00BF52AF"/>
    <w:rsid w:val="00BF7489"/>
    <w:rsid w:val="00C10A87"/>
    <w:rsid w:val="00C1386F"/>
    <w:rsid w:val="00C23B0C"/>
    <w:rsid w:val="00C25D37"/>
    <w:rsid w:val="00C26EF1"/>
    <w:rsid w:val="00C27A8B"/>
    <w:rsid w:val="00C31145"/>
    <w:rsid w:val="00C313B3"/>
    <w:rsid w:val="00C31F38"/>
    <w:rsid w:val="00C33885"/>
    <w:rsid w:val="00C33F3B"/>
    <w:rsid w:val="00C36E21"/>
    <w:rsid w:val="00C46DC0"/>
    <w:rsid w:val="00C508EA"/>
    <w:rsid w:val="00C51C89"/>
    <w:rsid w:val="00C561BB"/>
    <w:rsid w:val="00C56907"/>
    <w:rsid w:val="00C5700E"/>
    <w:rsid w:val="00C65D94"/>
    <w:rsid w:val="00C739A3"/>
    <w:rsid w:val="00C76691"/>
    <w:rsid w:val="00C77EC2"/>
    <w:rsid w:val="00C80551"/>
    <w:rsid w:val="00C87EAC"/>
    <w:rsid w:val="00C910E5"/>
    <w:rsid w:val="00C9372F"/>
    <w:rsid w:val="00CB1A30"/>
    <w:rsid w:val="00CB2FA7"/>
    <w:rsid w:val="00CB384B"/>
    <w:rsid w:val="00CB3C7A"/>
    <w:rsid w:val="00CB47C4"/>
    <w:rsid w:val="00CB5ADA"/>
    <w:rsid w:val="00CC1518"/>
    <w:rsid w:val="00CC1C0C"/>
    <w:rsid w:val="00CD532E"/>
    <w:rsid w:val="00CD6EF3"/>
    <w:rsid w:val="00CD7642"/>
    <w:rsid w:val="00CE06B0"/>
    <w:rsid w:val="00CE0986"/>
    <w:rsid w:val="00CE39C9"/>
    <w:rsid w:val="00CF651F"/>
    <w:rsid w:val="00CF76E1"/>
    <w:rsid w:val="00D01BC4"/>
    <w:rsid w:val="00D02930"/>
    <w:rsid w:val="00D0397E"/>
    <w:rsid w:val="00D04005"/>
    <w:rsid w:val="00D1450F"/>
    <w:rsid w:val="00D16032"/>
    <w:rsid w:val="00D16071"/>
    <w:rsid w:val="00D17C63"/>
    <w:rsid w:val="00D2687C"/>
    <w:rsid w:val="00D300D8"/>
    <w:rsid w:val="00D3598E"/>
    <w:rsid w:val="00D36476"/>
    <w:rsid w:val="00D4258F"/>
    <w:rsid w:val="00D4583D"/>
    <w:rsid w:val="00D4655D"/>
    <w:rsid w:val="00D5066B"/>
    <w:rsid w:val="00D530C1"/>
    <w:rsid w:val="00D61C02"/>
    <w:rsid w:val="00D6202C"/>
    <w:rsid w:val="00D66576"/>
    <w:rsid w:val="00D71C94"/>
    <w:rsid w:val="00D74903"/>
    <w:rsid w:val="00D9082C"/>
    <w:rsid w:val="00D958A3"/>
    <w:rsid w:val="00D97FBB"/>
    <w:rsid w:val="00DA69DE"/>
    <w:rsid w:val="00DB6116"/>
    <w:rsid w:val="00DB747E"/>
    <w:rsid w:val="00DD0E18"/>
    <w:rsid w:val="00DF199E"/>
    <w:rsid w:val="00DF75E4"/>
    <w:rsid w:val="00E063EA"/>
    <w:rsid w:val="00E10AEB"/>
    <w:rsid w:val="00E11C0B"/>
    <w:rsid w:val="00E158DC"/>
    <w:rsid w:val="00E164CE"/>
    <w:rsid w:val="00E16FFD"/>
    <w:rsid w:val="00E1710C"/>
    <w:rsid w:val="00E17503"/>
    <w:rsid w:val="00E2719C"/>
    <w:rsid w:val="00E535B4"/>
    <w:rsid w:val="00E60416"/>
    <w:rsid w:val="00E61011"/>
    <w:rsid w:val="00E644D1"/>
    <w:rsid w:val="00E65601"/>
    <w:rsid w:val="00E65AC7"/>
    <w:rsid w:val="00E70181"/>
    <w:rsid w:val="00E719AE"/>
    <w:rsid w:val="00E838D7"/>
    <w:rsid w:val="00E83B1E"/>
    <w:rsid w:val="00E86F4B"/>
    <w:rsid w:val="00E93172"/>
    <w:rsid w:val="00EA238B"/>
    <w:rsid w:val="00EA68C6"/>
    <w:rsid w:val="00EB3A73"/>
    <w:rsid w:val="00EC136A"/>
    <w:rsid w:val="00EC7F4C"/>
    <w:rsid w:val="00ED1704"/>
    <w:rsid w:val="00ED6B40"/>
    <w:rsid w:val="00EE03EC"/>
    <w:rsid w:val="00EE2914"/>
    <w:rsid w:val="00EE2A9C"/>
    <w:rsid w:val="00EE2E25"/>
    <w:rsid w:val="00EE61B5"/>
    <w:rsid w:val="00EE70C2"/>
    <w:rsid w:val="00EF5684"/>
    <w:rsid w:val="00EF69AE"/>
    <w:rsid w:val="00F12D67"/>
    <w:rsid w:val="00F202D9"/>
    <w:rsid w:val="00F2206D"/>
    <w:rsid w:val="00F277B5"/>
    <w:rsid w:val="00F31E41"/>
    <w:rsid w:val="00F33C1A"/>
    <w:rsid w:val="00F34F4A"/>
    <w:rsid w:val="00F45557"/>
    <w:rsid w:val="00F468E6"/>
    <w:rsid w:val="00F52F4A"/>
    <w:rsid w:val="00F5390D"/>
    <w:rsid w:val="00F6042D"/>
    <w:rsid w:val="00F640CC"/>
    <w:rsid w:val="00F667B3"/>
    <w:rsid w:val="00F7254C"/>
    <w:rsid w:val="00F80BED"/>
    <w:rsid w:val="00F8410F"/>
    <w:rsid w:val="00F872AD"/>
    <w:rsid w:val="00F9131B"/>
    <w:rsid w:val="00F925F0"/>
    <w:rsid w:val="00F95E3B"/>
    <w:rsid w:val="00FA2E66"/>
    <w:rsid w:val="00FB1128"/>
    <w:rsid w:val="00FB2FFA"/>
    <w:rsid w:val="00FB3F9A"/>
    <w:rsid w:val="00FC1F20"/>
    <w:rsid w:val="00FC2780"/>
    <w:rsid w:val="00FC2D62"/>
    <w:rsid w:val="00FC5D34"/>
    <w:rsid w:val="00FC7091"/>
    <w:rsid w:val="00FD05E0"/>
    <w:rsid w:val="00FD2A4E"/>
    <w:rsid w:val="00FD6765"/>
    <w:rsid w:val="00FE30F8"/>
    <w:rsid w:val="00FE5753"/>
    <w:rsid w:val="00FF0B7D"/>
    <w:rsid w:val="00FF0C33"/>
    <w:rsid w:val="00FF1DB6"/>
    <w:rsid w:val="00FF4104"/>
    <w:rsid w:val="00FF58B6"/>
    <w:rsid w:val="00FF745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C2871"/>
  <w15:chartTrackingRefBased/>
  <w15:docId w15:val="{ED65856E-86B9-B549-A1E3-2015E045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508"/>
    <w:pPr>
      <w:spacing w:after="120"/>
    </w:pPr>
    <w:rPr>
      <w:sz w:val="22"/>
    </w:rPr>
  </w:style>
  <w:style w:type="paragraph" w:styleId="Naslov1">
    <w:name w:val="heading 1"/>
    <w:basedOn w:val="Normal"/>
    <w:next w:val="Normal"/>
    <w:link w:val="Naslov1Char"/>
    <w:autoRedefine/>
    <w:uiPriority w:val="9"/>
    <w:qFormat/>
    <w:rsid w:val="00422508"/>
    <w:pPr>
      <w:keepNext/>
      <w:keepLines/>
      <w:spacing w:before="240"/>
      <w:outlineLvl w:val="0"/>
    </w:pPr>
    <w:rPr>
      <w:rFonts w:asciiTheme="majorHAnsi" w:eastAsiaTheme="majorEastAsia" w:hAnsiTheme="majorHAnsi" w:cstheme="majorBidi"/>
      <w:b/>
      <w:caps/>
      <w:color w:val="2F5496" w:themeColor="accent1" w:themeShade="BF"/>
      <w:sz w:val="40"/>
      <w:szCs w:val="32"/>
    </w:rPr>
  </w:style>
  <w:style w:type="paragraph" w:styleId="Naslov2">
    <w:name w:val="heading 2"/>
    <w:basedOn w:val="Normal"/>
    <w:next w:val="Normal"/>
    <w:link w:val="Naslov2Char"/>
    <w:autoRedefine/>
    <w:uiPriority w:val="9"/>
    <w:unhideWhenUsed/>
    <w:qFormat/>
    <w:rsid w:val="00422508"/>
    <w:pPr>
      <w:keepNext/>
      <w:keepLines/>
      <w:spacing w:before="40"/>
      <w:outlineLvl w:val="1"/>
    </w:pPr>
    <w:rPr>
      <w:rFonts w:asciiTheme="majorHAnsi" w:eastAsiaTheme="majorEastAsia" w:hAnsiTheme="majorHAnsi" w:cstheme="majorBidi"/>
      <w:b/>
      <w:caps/>
      <w:color w:val="2F5496" w:themeColor="accent1" w:themeShade="BF"/>
      <w:sz w:val="32"/>
      <w:szCs w:val="26"/>
    </w:rPr>
  </w:style>
  <w:style w:type="paragraph" w:styleId="Naslov3">
    <w:name w:val="heading 3"/>
    <w:basedOn w:val="Normal"/>
    <w:next w:val="Normal"/>
    <w:link w:val="Naslov3Char"/>
    <w:autoRedefine/>
    <w:uiPriority w:val="9"/>
    <w:unhideWhenUsed/>
    <w:qFormat/>
    <w:rsid w:val="00422508"/>
    <w:pPr>
      <w:keepNext/>
      <w:keepLines/>
      <w:spacing w:before="40"/>
      <w:outlineLvl w:val="2"/>
    </w:pPr>
    <w:rPr>
      <w:rFonts w:asciiTheme="majorHAnsi" w:eastAsiaTheme="majorEastAsia" w:hAnsiTheme="majorHAnsi" w:cstheme="majorBidi"/>
      <w:b/>
      <w:color w:val="44546A" w:themeColor="text2"/>
    </w:rPr>
  </w:style>
  <w:style w:type="paragraph" w:styleId="Naslov4">
    <w:name w:val="heading 4"/>
    <w:basedOn w:val="Normal"/>
    <w:next w:val="Normal"/>
    <w:link w:val="Naslov4Char"/>
    <w:uiPriority w:val="9"/>
    <w:unhideWhenUsed/>
    <w:qFormat/>
    <w:rsid w:val="008336C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autoRedefine/>
    <w:uiPriority w:val="10"/>
    <w:qFormat/>
    <w:rsid w:val="00422508"/>
    <w:pPr>
      <w:contextualSpacing/>
    </w:pPr>
    <w:rPr>
      <w:rFonts w:eastAsiaTheme="majorEastAsia" w:cstheme="majorBidi"/>
      <w:b/>
      <w:color w:val="ED7D31" w:themeColor="accent2"/>
      <w:spacing w:val="-10"/>
      <w:kern w:val="28"/>
      <w:sz w:val="56"/>
      <w:szCs w:val="56"/>
    </w:rPr>
  </w:style>
  <w:style w:type="character" w:customStyle="1" w:styleId="NaslovChar">
    <w:name w:val="Naslov Char"/>
    <w:basedOn w:val="Zadanifontodlomka"/>
    <w:link w:val="Naslov"/>
    <w:uiPriority w:val="10"/>
    <w:rsid w:val="00422508"/>
    <w:rPr>
      <w:rFonts w:eastAsiaTheme="majorEastAsia" w:cstheme="majorBidi"/>
      <w:b/>
      <w:color w:val="ED7D31" w:themeColor="accent2"/>
      <w:spacing w:val="-10"/>
      <w:kern w:val="28"/>
      <w:sz w:val="56"/>
      <w:szCs w:val="56"/>
    </w:rPr>
  </w:style>
  <w:style w:type="paragraph" w:customStyle="1" w:styleId="link">
    <w:name w:val="link"/>
    <w:basedOn w:val="Normal"/>
    <w:autoRedefine/>
    <w:qFormat/>
    <w:rsid w:val="00422508"/>
    <w:pPr>
      <w:spacing w:after="200"/>
    </w:pPr>
    <w:rPr>
      <w:color w:val="44546A" w:themeColor="text2"/>
      <w:szCs w:val="22"/>
      <w:u w:val="single" w:color="01438E"/>
    </w:rPr>
  </w:style>
  <w:style w:type="character" w:customStyle="1" w:styleId="Naslov1Char">
    <w:name w:val="Naslov 1 Char"/>
    <w:basedOn w:val="Zadanifontodlomka"/>
    <w:link w:val="Naslov1"/>
    <w:uiPriority w:val="9"/>
    <w:rsid w:val="00422508"/>
    <w:rPr>
      <w:rFonts w:asciiTheme="majorHAnsi" w:eastAsiaTheme="majorEastAsia" w:hAnsiTheme="majorHAnsi" w:cstheme="majorBidi"/>
      <w:b/>
      <w:caps/>
      <w:color w:val="2F5496" w:themeColor="accent1" w:themeShade="BF"/>
      <w:sz w:val="40"/>
      <w:szCs w:val="32"/>
    </w:rPr>
  </w:style>
  <w:style w:type="character" w:customStyle="1" w:styleId="Naslov2Char">
    <w:name w:val="Naslov 2 Char"/>
    <w:basedOn w:val="Zadanifontodlomka"/>
    <w:link w:val="Naslov2"/>
    <w:uiPriority w:val="9"/>
    <w:rsid w:val="00422508"/>
    <w:rPr>
      <w:rFonts w:asciiTheme="majorHAnsi" w:eastAsiaTheme="majorEastAsia" w:hAnsiTheme="majorHAnsi" w:cstheme="majorBidi"/>
      <w:b/>
      <w:caps/>
      <w:color w:val="2F5496" w:themeColor="accent1" w:themeShade="BF"/>
      <w:sz w:val="32"/>
      <w:szCs w:val="26"/>
    </w:rPr>
  </w:style>
  <w:style w:type="character" w:customStyle="1" w:styleId="Naslov3Char">
    <w:name w:val="Naslov 3 Char"/>
    <w:basedOn w:val="Zadanifontodlomka"/>
    <w:link w:val="Naslov3"/>
    <w:uiPriority w:val="9"/>
    <w:rsid w:val="00422508"/>
    <w:rPr>
      <w:rFonts w:asciiTheme="majorHAnsi" w:eastAsiaTheme="majorEastAsia" w:hAnsiTheme="majorHAnsi" w:cstheme="majorBidi"/>
      <w:b/>
      <w:color w:val="44546A" w:themeColor="text2"/>
      <w:sz w:val="22"/>
    </w:rPr>
  </w:style>
  <w:style w:type="paragraph" w:styleId="Naglaencitat">
    <w:name w:val="Intense Quote"/>
    <w:basedOn w:val="Normal"/>
    <w:next w:val="Normal"/>
    <w:link w:val="NaglaencitatChar"/>
    <w:autoRedefine/>
    <w:uiPriority w:val="30"/>
    <w:qFormat/>
    <w:rsid w:val="00422508"/>
    <w:pPr>
      <w:pBdr>
        <w:top w:val="single" w:sz="4" w:space="10" w:color="4472C4" w:themeColor="accent1"/>
        <w:bottom w:val="single" w:sz="4" w:space="10" w:color="4472C4" w:themeColor="accent1"/>
      </w:pBdr>
      <w:spacing w:before="360" w:after="360"/>
      <w:ind w:left="864" w:right="864"/>
      <w:jc w:val="center"/>
    </w:pPr>
    <w:rPr>
      <w:b/>
      <w:i/>
      <w:iCs/>
      <w:color w:val="ED7D31" w:themeColor="accent2"/>
    </w:rPr>
  </w:style>
  <w:style w:type="character" w:customStyle="1" w:styleId="NaglaencitatChar">
    <w:name w:val="Naglašen citat Char"/>
    <w:basedOn w:val="Zadanifontodlomka"/>
    <w:link w:val="Naglaencitat"/>
    <w:uiPriority w:val="30"/>
    <w:rsid w:val="00422508"/>
    <w:rPr>
      <w:b/>
      <w:i/>
      <w:iCs/>
      <w:color w:val="ED7D31" w:themeColor="accent2"/>
      <w:sz w:val="22"/>
    </w:rPr>
  </w:style>
  <w:style w:type="paragraph" w:styleId="Podnaslov">
    <w:name w:val="Subtitle"/>
    <w:basedOn w:val="Normal"/>
    <w:next w:val="Normal"/>
    <w:link w:val="PodnaslovChar"/>
    <w:autoRedefine/>
    <w:uiPriority w:val="11"/>
    <w:qFormat/>
    <w:rsid w:val="00422508"/>
    <w:pPr>
      <w:numPr>
        <w:ilvl w:val="1"/>
      </w:numPr>
      <w:spacing w:after="160"/>
    </w:pPr>
    <w:rPr>
      <w:rFonts w:eastAsiaTheme="minorEastAsia"/>
      <w:b/>
      <w:color w:val="ED7D31" w:themeColor="accent2"/>
      <w:spacing w:val="15"/>
      <w:sz w:val="60"/>
      <w:szCs w:val="22"/>
    </w:rPr>
  </w:style>
  <w:style w:type="character" w:customStyle="1" w:styleId="PodnaslovChar">
    <w:name w:val="Podnaslov Char"/>
    <w:basedOn w:val="Zadanifontodlomka"/>
    <w:link w:val="Podnaslov"/>
    <w:uiPriority w:val="11"/>
    <w:rsid w:val="00422508"/>
    <w:rPr>
      <w:rFonts w:eastAsiaTheme="minorEastAsia"/>
      <w:b/>
      <w:color w:val="ED7D31" w:themeColor="accent2"/>
      <w:spacing w:val="15"/>
      <w:sz w:val="60"/>
      <w:szCs w:val="22"/>
    </w:rPr>
  </w:style>
  <w:style w:type="paragraph" w:customStyle="1" w:styleId="Source">
    <w:name w:val="Source"/>
    <w:basedOn w:val="Normal"/>
    <w:autoRedefine/>
    <w:qFormat/>
    <w:rsid w:val="00422508"/>
    <w:pPr>
      <w:jc w:val="center"/>
    </w:pPr>
  </w:style>
  <w:style w:type="paragraph" w:styleId="Opisslike">
    <w:name w:val="caption"/>
    <w:basedOn w:val="Normal"/>
    <w:next w:val="Normal"/>
    <w:autoRedefine/>
    <w:uiPriority w:val="35"/>
    <w:unhideWhenUsed/>
    <w:qFormat/>
    <w:rsid w:val="00422508"/>
    <w:pPr>
      <w:spacing w:before="160" w:after="200" w:line="240" w:lineRule="auto"/>
    </w:pPr>
    <w:rPr>
      <w:i/>
      <w:iCs/>
      <w:color w:val="767171" w:themeColor="background2" w:themeShade="80"/>
      <w:sz w:val="18"/>
      <w:szCs w:val="18"/>
    </w:rPr>
  </w:style>
  <w:style w:type="paragraph" w:styleId="TOCNaslov">
    <w:name w:val="TOC Heading"/>
    <w:basedOn w:val="Naslov1"/>
    <w:next w:val="Normal"/>
    <w:autoRedefine/>
    <w:uiPriority w:val="39"/>
    <w:semiHidden/>
    <w:unhideWhenUsed/>
    <w:qFormat/>
    <w:rsid w:val="00422508"/>
    <w:pPr>
      <w:spacing w:after="0"/>
      <w:outlineLvl w:val="9"/>
    </w:pPr>
    <w:rPr>
      <w:caps w:val="0"/>
      <w:color w:val="44546A" w:themeColor="text2"/>
      <w:sz w:val="32"/>
    </w:rPr>
  </w:style>
  <w:style w:type="paragraph" w:styleId="Sadraj1">
    <w:name w:val="toc 1"/>
    <w:basedOn w:val="Normal"/>
    <w:next w:val="Normal"/>
    <w:autoRedefine/>
    <w:uiPriority w:val="39"/>
    <w:unhideWhenUsed/>
    <w:rsid w:val="00422508"/>
    <w:pPr>
      <w:spacing w:before="120"/>
    </w:pPr>
    <w:rPr>
      <w:rFonts w:cstheme="minorHAnsi"/>
      <w:b/>
      <w:bCs/>
      <w:caps/>
      <w:color w:val="44546A" w:themeColor="text2"/>
      <w:sz w:val="20"/>
    </w:rPr>
  </w:style>
  <w:style w:type="paragraph" w:styleId="Sadraj2">
    <w:name w:val="toc 2"/>
    <w:basedOn w:val="Normal"/>
    <w:next w:val="Normal"/>
    <w:autoRedefine/>
    <w:uiPriority w:val="39"/>
    <w:unhideWhenUsed/>
    <w:rsid w:val="00422508"/>
    <w:pPr>
      <w:spacing w:after="0"/>
      <w:ind w:left="170"/>
    </w:pPr>
    <w:rPr>
      <w:rFonts w:cstheme="minorHAnsi"/>
      <w:color w:val="595959" w:themeColor="text1" w:themeTint="A6"/>
    </w:rPr>
  </w:style>
  <w:style w:type="paragraph" w:styleId="Sadraj3">
    <w:name w:val="toc 3"/>
    <w:basedOn w:val="Normal"/>
    <w:next w:val="Normal"/>
    <w:autoRedefine/>
    <w:uiPriority w:val="39"/>
    <w:unhideWhenUsed/>
    <w:rsid w:val="00422508"/>
    <w:pPr>
      <w:spacing w:after="0"/>
      <w:ind w:left="170"/>
    </w:pPr>
    <w:rPr>
      <w:rFonts w:cstheme="minorHAnsi"/>
      <w:color w:val="404040" w:themeColor="text1" w:themeTint="BF"/>
      <w:sz w:val="20"/>
      <w:szCs w:val="22"/>
    </w:rPr>
  </w:style>
  <w:style w:type="paragraph" w:styleId="Grafikeoznake">
    <w:name w:val="List Bullet"/>
    <w:basedOn w:val="Normal"/>
    <w:autoRedefine/>
    <w:uiPriority w:val="99"/>
    <w:unhideWhenUsed/>
    <w:qFormat/>
    <w:rsid w:val="00422508"/>
    <w:pPr>
      <w:numPr>
        <w:numId w:val="1"/>
      </w:numPr>
    </w:pPr>
  </w:style>
  <w:style w:type="table" w:styleId="Tablicapopisa3-isticanje6">
    <w:name w:val="List Table 3 Accent 6"/>
    <w:aliases w:val="Invest In Croatia Table"/>
    <w:basedOn w:val="Obinatablica"/>
    <w:uiPriority w:val="48"/>
    <w:rsid w:val="00422508"/>
    <w:pPr>
      <w:spacing w:line="240" w:lineRule="auto"/>
      <w:jc w:val="center"/>
    </w:pPr>
    <w:tblPr>
      <w:tblStyleRowBandSize w:val="1"/>
      <w:tblStyleColBandSize w:val="1"/>
      <w:tblBorders>
        <w:top w:val="single" w:sz="4" w:space="0" w:color="70AD47" w:themeColor="accent6"/>
        <w:bottom w:val="single" w:sz="4" w:space="0" w:color="70AD47" w:themeColor="accent6"/>
        <w:insideV w:val="single" w:sz="4" w:space="0" w:color="70AD47" w:themeColor="accent6"/>
      </w:tblBorders>
      <w:tblCellMar>
        <w:top w:w="227" w:type="dxa"/>
        <w:bottom w:w="227" w:type="dxa"/>
      </w:tblCellMar>
    </w:tblPr>
    <w:tcPr>
      <w:vAlign w:val="center"/>
    </w:tcPr>
    <w:tblStylePr w:type="firstRow">
      <w:rPr>
        <w:b/>
        <w:bCs/>
        <w:color w:val="FFFFFF" w:themeColor="background1"/>
      </w:rPr>
      <w:tblPr/>
      <w:tcPr>
        <w:shd w:val="clear" w:color="auto" w:fill="ED7D31" w:themeFill="accent2"/>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Zaglavlje">
    <w:name w:val="header"/>
    <w:basedOn w:val="Normal"/>
    <w:link w:val="ZaglavljeChar"/>
    <w:uiPriority w:val="99"/>
    <w:unhideWhenUsed/>
    <w:rsid w:val="004D11E6"/>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4D11E6"/>
    <w:rPr>
      <w:sz w:val="22"/>
    </w:rPr>
  </w:style>
  <w:style w:type="paragraph" w:styleId="Podnoje">
    <w:name w:val="footer"/>
    <w:basedOn w:val="Normal"/>
    <w:link w:val="PodnojeChar"/>
    <w:uiPriority w:val="99"/>
    <w:unhideWhenUsed/>
    <w:rsid w:val="004D11E6"/>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4D11E6"/>
    <w:rPr>
      <w:sz w:val="22"/>
    </w:rPr>
  </w:style>
  <w:style w:type="paragraph" w:styleId="Tijeloteksta">
    <w:name w:val="Body Text"/>
    <w:basedOn w:val="Normal"/>
    <w:link w:val="TijelotekstaChar"/>
    <w:uiPriority w:val="1"/>
    <w:qFormat/>
    <w:rsid w:val="00213050"/>
    <w:pPr>
      <w:widowControl w:val="0"/>
      <w:autoSpaceDE w:val="0"/>
      <w:autoSpaceDN w:val="0"/>
      <w:spacing w:after="0" w:line="240" w:lineRule="auto"/>
    </w:pPr>
    <w:rPr>
      <w:rFonts w:ascii="Times New Roman" w:eastAsia="Times New Roman" w:hAnsi="Times New Roman" w:cs="Times New Roman"/>
      <w:szCs w:val="22"/>
      <w:lang w:eastAsia="hr-HR" w:bidi="hr-HR"/>
    </w:rPr>
  </w:style>
  <w:style w:type="character" w:customStyle="1" w:styleId="TijelotekstaChar">
    <w:name w:val="Tijelo teksta Char"/>
    <w:basedOn w:val="Zadanifontodlomka"/>
    <w:link w:val="Tijeloteksta"/>
    <w:uiPriority w:val="1"/>
    <w:rsid w:val="00213050"/>
    <w:rPr>
      <w:rFonts w:ascii="Times New Roman" w:eastAsia="Times New Roman" w:hAnsi="Times New Roman" w:cs="Times New Roman"/>
      <w:sz w:val="22"/>
      <w:szCs w:val="22"/>
      <w:lang w:eastAsia="hr-HR" w:bidi="hr-HR"/>
    </w:rPr>
  </w:style>
  <w:style w:type="paragraph" w:styleId="Odlomakpopisa">
    <w:name w:val="List Paragraph"/>
    <w:basedOn w:val="Normal"/>
    <w:uiPriority w:val="99"/>
    <w:qFormat/>
    <w:rsid w:val="00C65D94"/>
    <w:pPr>
      <w:spacing w:after="0" w:line="240" w:lineRule="auto"/>
      <w:ind w:left="720"/>
      <w:contextualSpacing/>
    </w:pPr>
    <w:rPr>
      <w:rFonts w:ascii="Times New Roman" w:eastAsia="Times New Roman" w:hAnsi="Times New Roman" w:cs="Times New Roman"/>
      <w:sz w:val="24"/>
      <w:lang w:eastAsia="hr-HR"/>
    </w:rPr>
  </w:style>
  <w:style w:type="character" w:customStyle="1" w:styleId="normaltextrun">
    <w:name w:val="normaltextrun"/>
    <w:basedOn w:val="Zadanifontodlomka"/>
    <w:rsid w:val="00C65D94"/>
  </w:style>
  <w:style w:type="character" w:styleId="Hiperveza">
    <w:name w:val="Hyperlink"/>
    <w:rsid w:val="000F385C"/>
    <w:rPr>
      <w:color w:val="0000FF"/>
      <w:u w:val="single"/>
    </w:rPr>
  </w:style>
  <w:style w:type="paragraph" w:styleId="Tekstfusnote">
    <w:name w:val="footnote text"/>
    <w:basedOn w:val="Normal"/>
    <w:link w:val="TekstfusnoteChar"/>
    <w:uiPriority w:val="99"/>
    <w:semiHidden/>
    <w:unhideWhenUsed/>
    <w:rsid w:val="000C1C7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C1C7D"/>
    <w:rPr>
      <w:sz w:val="20"/>
      <w:szCs w:val="20"/>
    </w:rPr>
  </w:style>
  <w:style w:type="character" w:styleId="Referencafusnote">
    <w:name w:val="footnote reference"/>
    <w:basedOn w:val="Zadanifontodlomka"/>
    <w:uiPriority w:val="99"/>
    <w:semiHidden/>
    <w:unhideWhenUsed/>
    <w:rsid w:val="000C1C7D"/>
    <w:rPr>
      <w:vertAlign w:val="superscript"/>
    </w:rPr>
  </w:style>
  <w:style w:type="paragraph" w:customStyle="1" w:styleId="xmsonormal">
    <w:name w:val="x_msonormal"/>
    <w:basedOn w:val="Normal"/>
    <w:rsid w:val="00EF5684"/>
    <w:pPr>
      <w:spacing w:before="100" w:beforeAutospacing="1" w:after="100" w:afterAutospacing="1" w:line="240" w:lineRule="auto"/>
    </w:pPr>
    <w:rPr>
      <w:rFonts w:ascii="Times New Roman" w:eastAsia="Times New Roman" w:hAnsi="Times New Roman" w:cs="Times New Roman"/>
      <w:sz w:val="24"/>
      <w:lang w:val="en-US"/>
    </w:rPr>
  </w:style>
  <w:style w:type="table" w:styleId="Reetkatablice">
    <w:name w:val="Table Grid"/>
    <w:basedOn w:val="Obinatablica"/>
    <w:uiPriority w:val="59"/>
    <w:rsid w:val="00686C56"/>
    <w:pPr>
      <w:spacing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semiHidden/>
    <w:unhideWhenUsed/>
    <w:rsid w:val="00831789"/>
    <w:rPr>
      <w:sz w:val="16"/>
      <w:szCs w:val="16"/>
    </w:rPr>
  </w:style>
  <w:style w:type="paragraph" w:styleId="Tekstkomentara">
    <w:name w:val="annotation text"/>
    <w:basedOn w:val="Normal"/>
    <w:link w:val="TekstkomentaraChar"/>
    <w:unhideWhenUsed/>
    <w:rsid w:val="00831789"/>
    <w:pPr>
      <w:spacing w:line="240" w:lineRule="auto"/>
    </w:pPr>
    <w:rPr>
      <w:sz w:val="20"/>
      <w:szCs w:val="20"/>
    </w:rPr>
  </w:style>
  <w:style w:type="character" w:customStyle="1" w:styleId="TekstkomentaraChar">
    <w:name w:val="Tekst komentara Char"/>
    <w:basedOn w:val="Zadanifontodlomka"/>
    <w:link w:val="Tekstkomentara"/>
    <w:uiPriority w:val="99"/>
    <w:rsid w:val="00831789"/>
    <w:rPr>
      <w:sz w:val="20"/>
      <w:szCs w:val="20"/>
    </w:rPr>
  </w:style>
  <w:style w:type="paragraph" w:styleId="Predmetkomentara">
    <w:name w:val="annotation subject"/>
    <w:basedOn w:val="Tekstkomentara"/>
    <w:next w:val="Tekstkomentara"/>
    <w:link w:val="PredmetkomentaraChar"/>
    <w:uiPriority w:val="99"/>
    <w:semiHidden/>
    <w:unhideWhenUsed/>
    <w:rsid w:val="00831789"/>
    <w:rPr>
      <w:b/>
      <w:bCs/>
    </w:rPr>
  </w:style>
  <w:style w:type="character" w:customStyle="1" w:styleId="PredmetkomentaraChar">
    <w:name w:val="Predmet komentara Char"/>
    <w:basedOn w:val="TekstkomentaraChar"/>
    <w:link w:val="Predmetkomentara"/>
    <w:uiPriority w:val="99"/>
    <w:semiHidden/>
    <w:rsid w:val="00831789"/>
    <w:rPr>
      <w:b/>
      <w:bCs/>
      <w:sz w:val="20"/>
      <w:szCs w:val="20"/>
    </w:rPr>
  </w:style>
  <w:style w:type="paragraph" w:customStyle="1" w:styleId="xxmsonormal">
    <w:name w:val="x_x_msonormal"/>
    <w:basedOn w:val="Normal"/>
    <w:rsid w:val="005C3DBD"/>
    <w:pPr>
      <w:spacing w:after="0" w:line="240" w:lineRule="auto"/>
    </w:pPr>
    <w:rPr>
      <w:rFonts w:ascii="Calibri" w:eastAsia="Barlow" w:hAnsi="Calibri" w:cs="Calibri"/>
      <w:szCs w:val="22"/>
      <w:lang w:val="en-US"/>
    </w:rPr>
  </w:style>
  <w:style w:type="character" w:styleId="Nerijeenospominjanje">
    <w:name w:val="Unresolved Mention"/>
    <w:basedOn w:val="Zadanifontodlomka"/>
    <w:uiPriority w:val="99"/>
    <w:semiHidden/>
    <w:unhideWhenUsed/>
    <w:rsid w:val="00F8410F"/>
    <w:rPr>
      <w:color w:val="605E5C"/>
      <w:shd w:val="clear" w:color="auto" w:fill="E1DFDD"/>
    </w:rPr>
  </w:style>
  <w:style w:type="paragraph" w:customStyle="1" w:styleId="Natuknicebold">
    <w:name w:val="Natuknice bold"/>
    <w:basedOn w:val="Normal"/>
    <w:link w:val="NatukniceboldChar"/>
    <w:qFormat/>
    <w:rsid w:val="001B3D1C"/>
    <w:pPr>
      <w:spacing w:before="360" w:line="276" w:lineRule="auto"/>
      <w:ind w:left="786" w:hanging="360"/>
      <w:jc w:val="both"/>
    </w:pPr>
    <w:rPr>
      <w:rFonts w:ascii="Barlow" w:eastAsia="Segoe UI" w:hAnsi="Barlow" w:cs="Microsoft Sans Serif"/>
      <w:b/>
      <w:sz w:val="20"/>
      <w:szCs w:val="20"/>
      <w:lang w:eastAsia="hr-HR"/>
    </w:rPr>
  </w:style>
  <w:style w:type="character" w:customStyle="1" w:styleId="NatukniceboldChar">
    <w:name w:val="Natuknice bold Char"/>
    <w:basedOn w:val="Zadanifontodlomka"/>
    <w:link w:val="Natuknicebold"/>
    <w:rsid w:val="001B3D1C"/>
    <w:rPr>
      <w:rFonts w:ascii="Barlow" w:eastAsia="Segoe UI" w:hAnsi="Barlow" w:cs="Microsoft Sans Serif"/>
      <w:b/>
      <w:sz w:val="20"/>
      <w:szCs w:val="20"/>
      <w:lang w:eastAsia="hr-HR"/>
    </w:rPr>
  </w:style>
  <w:style w:type="paragraph" w:styleId="StandardWeb">
    <w:name w:val="Normal (Web)"/>
    <w:basedOn w:val="Normal"/>
    <w:unhideWhenUsed/>
    <w:rsid w:val="00A170E4"/>
    <w:rPr>
      <w:rFonts w:ascii="Times New Roman" w:hAnsi="Times New Roman" w:cs="Times New Roman"/>
      <w:sz w:val="24"/>
    </w:rPr>
  </w:style>
  <w:style w:type="paragraph" w:customStyle="1" w:styleId="text">
    <w:name w:val="text"/>
    <w:rsid w:val="00256E7A"/>
    <w:pPr>
      <w:tabs>
        <w:tab w:val="left" w:pos="1134"/>
        <w:tab w:val="left" w:pos="2268"/>
        <w:tab w:val="left" w:pos="3402"/>
        <w:tab w:val="left" w:pos="4536"/>
        <w:tab w:val="left" w:pos="5670"/>
        <w:tab w:val="left" w:pos="6804"/>
        <w:tab w:val="left" w:pos="7938"/>
      </w:tabs>
      <w:spacing w:after="280" w:line="280" w:lineRule="exact"/>
    </w:pPr>
    <w:rPr>
      <w:rFonts w:ascii="Times" w:eastAsia="Times New Roman" w:hAnsi="Times" w:cs="Times New Roman"/>
      <w:sz w:val="22"/>
      <w:szCs w:val="20"/>
      <w:lang w:val="en-GB" w:eastAsia="en-GB"/>
    </w:rPr>
  </w:style>
  <w:style w:type="paragraph" w:customStyle="1" w:styleId="Default">
    <w:name w:val="Default"/>
    <w:rsid w:val="0026428C"/>
    <w:pPr>
      <w:autoSpaceDE w:val="0"/>
      <w:autoSpaceDN w:val="0"/>
      <w:adjustRightInd w:val="0"/>
      <w:spacing w:line="240" w:lineRule="auto"/>
    </w:pPr>
    <w:rPr>
      <w:rFonts w:ascii="Times New Roman" w:hAnsi="Times New Roman" w:cs="Times New Roman"/>
      <w:color w:val="000000"/>
      <w14:ligatures w14:val="standardContextual"/>
    </w:rPr>
  </w:style>
  <w:style w:type="character" w:customStyle="1" w:styleId="Naslov4Char">
    <w:name w:val="Naslov 4 Char"/>
    <w:basedOn w:val="Zadanifontodlomka"/>
    <w:link w:val="Naslov4"/>
    <w:uiPriority w:val="9"/>
    <w:rsid w:val="008336CC"/>
    <w:rPr>
      <w:rFonts w:asciiTheme="majorHAnsi" w:eastAsiaTheme="majorEastAsia" w:hAnsiTheme="majorHAnsi" w:cstheme="majorBidi"/>
      <w:i/>
      <w:iCs/>
      <w:color w:val="2F5496"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44540">
      <w:bodyDiv w:val="1"/>
      <w:marLeft w:val="0"/>
      <w:marRight w:val="0"/>
      <w:marTop w:val="0"/>
      <w:marBottom w:val="0"/>
      <w:divBdr>
        <w:top w:val="none" w:sz="0" w:space="0" w:color="auto"/>
        <w:left w:val="none" w:sz="0" w:space="0" w:color="auto"/>
        <w:bottom w:val="none" w:sz="0" w:space="0" w:color="auto"/>
        <w:right w:val="none" w:sz="0" w:space="0" w:color="auto"/>
      </w:divBdr>
    </w:div>
    <w:div w:id="227034480">
      <w:bodyDiv w:val="1"/>
      <w:marLeft w:val="0"/>
      <w:marRight w:val="0"/>
      <w:marTop w:val="0"/>
      <w:marBottom w:val="0"/>
      <w:divBdr>
        <w:top w:val="none" w:sz="0" w:space="0" w:color="auto"/>
        <w:left w:val="none" w:sz="0" w:space="0" w:color="auto"/>
        <w:bottom w:val="none" w:sz="0" w:space="0" w:color="auto"/>
        <w:right w:val="none" w:sz="0" w:space="0" w:color="auto"/>
      </w:divBdr>
    </w:div>
    <w:div w:id="313991426">
      <w:bodyDiv w:val="1"/>
      <w:marLeft w:val="0"/>
      <w:marRight w:val="0"/>
      <w:marTop w:val="0"/>
      <w:marBottom w:val="0"/>
      <w:divBdr>
        <w:top w:val="none" w:sz="0" w:space="0" w:color="auto"/>
        <w:left w:val="none" w:sz="0" w:space="0" w:color="auto"/>
        <w:bottom w:val="none" w:sz="0" w:space="0" w:color="auto"/>
        <w:right w:val="none" w:sz="0" w:space="0" w:color="auto"/>
      </w:divBdr>
    </w:div>
    <w:div w:id="742680909">
      <w:bodyDiv w:val="1"/>
      <w:marLeft w:val="0"/>
      <w:marRight w:val="0"/>
      <w:marTop w:val="0"/>
      <w:marBottom w:val="0"/>
      <w:divBdr>
        <w:top w:val="none" w:sz="0" w:space="0" w:color="auto"/>
        <w:left w:val="none" w:sz="0" w:space="0" w:color="auto"/>
        <w:bottom w:val="none" w:sz="0" w:space="0" w:color="auto"/>
        <w:right w:val="none" w:sz="0" w:space="0" w:color="auto"/>
      </w:divBdr>
    </w:div>
    <w:div w:id="1307709128">
      <w:bodyDiv w:val="1"/>
      <w:marLeft w:val="0"/>
      <w:marRight w:val="0"/>
      <w:marTop w:val="0"/>
      <w:marBottom w:val="0"/>
      <w:divBdr>
        <w:top w:val="none" w:sz="0" w:space="0" w:color="auto"/>
        <w:left w:val="none" w:sz="0" w:space="0" w:color="auto"/>
        <w:bottom w:val="none" w:sz="0" w:space="0" w:color="auto"/>
        <w:right w:val="none" w:sz="0" w:space="0" w:color="auto"/>
      </w:divBdr>
    </w:div>
    <w:div w:id="1386099495">
      <w:bodyDiv w:val="1"/>
      <w:marLeft w:val="0"/>
      <w:marRight w:val="0"/>
      <w:marTop w:val="0"/>
      <w:marBottom w:val="0"/>
      <w:divBdr>
        <w:top w:val="none" w:sz="0" w:space="0" w:color="auto"/>
        <w:left w:val="none" w:sz="0" w:space="0" w:color="auto"/>
        <w:bottom w:val="none" w:sz="0" w:space="0" w:color="auto"/>
        <w:right w:val="none" w:sz="0" w:space="0" w:color="auto"/>
      </w:divBdr>
    </w:div>
    <w:div w:id="1607693122">
      <w:bodyDiv w:val="1"/>
      <w:marLeft w:val="0"/>
      <w:marRight w:val="0"/>
      <w:marTop w:val="0"/>
      <w:marBottom w:val="0"/>
      <w:divBdr>
        <w:top w:val="none" w:sz="0" w:space="0" w:color="auto"/>
        <w:left w:val="none" w:sz="0" w:space="0" w:color="auto"/>
        <w:bottom w:val="none" w:sz="0" w:space="0" w:color="auto"/>
        <w:right w:val="none" w:sz="0" w:space="0" w:color="auto"/>
      </w:divBdr>
    </w:div>
    <w:div w:id="1973903483">
      <w:bodyDiv w:val="1"/>
      <w:marLeft w:val="0"/>
      <w:marRight w:val="0"/>
      <w:marTop w:val="0"/>
      <w:marBottom w:val="0"/>
      <w:divBdr>
        <w:top w:val="none" w:sz="0" w:space="0" w:color="auto"/>
        <w:left w:val="none" w:sz="0" w:space="0" w:color="auto"/>
        <w:bottom w:val="none" w:sz="0" w:space="0" w:color="auto"/>
        <w:right w:val="none" w:sz="0" w:space="0" w:color="auto"/>
      </w:divBdr>
    </w:div>
    <w:div w:id="20106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nce-st.org/vijesti/promjena-retorike-cgo-lecevica-nije-rjesenje-trebaju-nam-komposta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rk.hr/eko-oto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BEDF7-839A-4096-9117-FCDCF9A6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8032</Words>
  <Characters>45789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Maja Jurić</cp:lastModifiedBy>
  <cp:revision>2</cp:revision>
  <dcterms:created xsi:type="dcterms:W3CDTF">2025-12-19T11:14:00Z</dcterms:created>
  <dcterms:modified xsi:type="dcterms:W3CDTF">2025-12-19T11:14:00Z</dcterms:modified>
</cp:coreProperties>
</file>